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76" w:tblpY="89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3"/>
        <w:gridCol w:w="7571"/>
      </w:tblGrid>
      <w:tr w:rsidR="00F77F41" w:rsidRPr="00C2121F" w:rsidTr="00344FD7">
        <w:trPr>
          <w:trHeight w:val="1836"/>
        </w:trPr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Организация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Министерство Здравоохранения Азербайджанской Республики.  Азербайджанский Медицинский Университет </w:t>
            </w:r>
          </w:p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I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Лечебно-профилактический факультет, кафедра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I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Детские болезни </w:t>
            </w:r>
          </w:p>
        </w:tc>
      </w:tr>
      <w:tr w:rsidR="00F77F41" w:rsidRPr="00C2121F" w:rsidTr="00F77F41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Тип документа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Аннотация </w:t>
            </w:r>
          </w:p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Диссертационной работы на соискание ученой степени доктора философии по Медицине </w:t>
            </w:r>
          </w:p>
        </w:tc>
      </w:tr>
      <w:tr w:rsidR="00F77F41" w:rsidRPr="00C2121F" w:rsidTr="00F77F41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FB2F17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FB2F17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Название работы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FB2F17" w:rsidRDefault="00F77F41" w:rsidP="00E0137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ru-RU"/>
              </w:rPr>
            </w:pPr>
            <w:r w:rsidRPr="00FB2F17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ru-RU"/>
              </w:rPr>
              <w:t xml:space="preserve">Предикторы развития и оптимизация методов лечения дакриоцистита новорожденных  </w:t>
            </w:r>
          </w:p>
        </w:tc>
      </w:tr>
      <w:tr w:rsidR="00F77F41" w:rsidRPr="00C2121F" w:rsidTr="00F77F41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Название и код научного направления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Педиатрия </w:t>
            </w:r>
          </w:p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3220.01</w:t>
            </w:r>
          </w:p>
        </w:tc>
      </w:tr>
      <w:tr w:rsidR="00F77F41" w:rsidRPr="00C2121F" w:rsidTr="00F77F41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Статус исполнителя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Диссертант </w:t>
            </w:r>
          </w:p>
        </w:tc>
      </w:tr>
      <w:tr w:rsidR="00F77F41" w:rsidRPr="00C2121F" w:rsidTr="00F77F41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Исполнитель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77F41" w:rsidRPr="00115EAB" w:rsidRDefault="00F77F41" w:rsidP="00115EAB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Велиева</w:t>
            </w:r>
            <w:proofErr w:type="spellEnd"/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Гияфет</w:t>
            </w:r>
            <w:proofErr w:type="spellEnd"/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Ваг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иф</w:t>
            </w:r>
            <w:proofErr w:type="spellEnd"/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кызы</w:t>
            </w:r>
            <w:proofErr w:type="spellEnd"/>
            <w:r w:rsidR="008C1643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         </w:t>
            </w:r>
          </w:p>
        </w:tc>
      </w:tr>
      <w:tr w:rsidR="00357636" w:rsidRPr="00C2121F" w:rsidTr="00F77F41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57636" w:rsidRPr="00357636" w:rsidRDefault="00357636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Год рождения, место работ</w:t>
            </w:r>
            <w:proofErr w:type="spellStart"/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>ы</w:t>
            </w:r>
            <w:proofErr w:type="spellEnd"/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57636" w:rsidRDefault="00357636" w:rsidP="00E0137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13.01.1978</w:t>
            </w:r>
          </w:p>
          <w:p w:rsidR="00357636" w:rsidRPr="00357636" w:rsidRDefault="00357636" w:rsidP="0023367C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На</w:t>
            </w:r>
            <w:r w:rsidR="0023367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циональный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Центр Офтальмологии имени </w:t>
            </w:r>
            <w:r w:rsidR="007F18E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академика З.Алиевой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 (педиатр)  </w:t>
            </w:r>
          </w:p>
        </w:tc>
      </w:tr>
      <w:tr w:rsidR="00F77F41" w:rsidRPr="00C2121F" w:rsidTr="00F77F41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 xml:space="preserve">телефон, </w:t>
            </w:r>
          </w:p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</w:rPr>
              <w:t>e-mail</w:t>
            </w: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>, факс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Default="00357636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050 516 71 21</w:t>
            </w:r>
          </w:p>
          <w:p w:rsidR="00115EAB" w:rsidRPr="00115EAB" w:rsidRDefault="00115EAB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giyafet</w:t>
            </w:r>
            <w:r w:rsidRPr="00115EA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@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mail</w:t>
            </w:r>
            <w:r w:rsidRPr="00115EA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77F41" w:rsidRPr="00C2121F" w:rsidTr="00F77F41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>Научн</w:t>
            </w:r>
            <w:r w:rsidR="0000278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>ы</w:t>
            </w: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й руководитель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0AD" w:rsidRPr="00C2121F" w:rsidRDefault="00F77F41" w:rsidP="00900980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Профессор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Касумова</w:t>
            </w:r>
            <w:proofErr w:type="spellEnd"/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Сурая</w:t>
            </w:r>
            <w:proofErr w:type="spellEnd"/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Масим</w:t>
            </w:r>
            <w:proofErr w:type="spellEnd"/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кызы</w:t>
            </w:r>
            <w:proofErr w:type="spellEnd"/>
            <w:r w:rsidR="009D00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-</w:t>
            </w:r>
            <w:r w:rsidR="00E01372"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9D00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октор наук по медицине, профессор кафедры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I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Детские болезни 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I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Л</w:t>
            </w:r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ечебно-профилактического</w:t>
            </w:r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факультет</w:t>
            </w:r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</w:t>
            </w:r>
            <w:r w:rsidR="00E01372"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9D00AD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Азербайджанский Медицинский Университет</w:t>
            </w:r>
            <w:r w:rsid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  <w:r w:rsidR="009D00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Тел:</w:t>
            </w:r>
            <w:r w:rsidR="00E01372"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900980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050 324 49 </w:t>
            </w:r>
            <w:r w:rsidR="009D00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74</w:t>
            </w:r>
            <w:r w:rsidR="00900980" w:rsidRPr="00E05583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F77F41" w:rsidRPr="00C2121F" w:rsidTr="00F77F41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>Научн</w:t>
            </w:r>
            <w:r w:rsidR="0000278B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>ы</w:t>
            </w: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й консультант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2D3019" w:rsidRDefault="002D3019" w:rsidP="002D3019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ru-RU"/>
              </w:rPr>
            </w:pPr>
            <w:r w:rsidRPr="002D301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ru-RU"/>
              </w:rPr>
              <w:t>Д</w:t>
            </w:r>
            <w: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ru-RU"/>
              </w:rPr>
              <w:t xml:space="preserve">. </w:t>
            </w:r>
            <w:r w:rsidRPr="002D301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2D301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ru-RU"/>
              </w:rPr>
              <w:t>ф</w:t>
            </w:r>
            <w:proofErr w:type="gramEnd"/>
            <w:r w:rsidRPr="002D301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ru-RU"/>
              </w:rPr>
              <w:t>. по мед.</w:t>
            </w:r>
            <w:r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ru-RU"/>
              </w:rPr>
              <w:t xml:space="preserve"> Офтальмолог </w:t>
            </w:r>
            <w:r w:rsidRPr="002D3019">
              <w:rPr>
                <w:rFonts w:ascii="Times New Roman" w:eastAsia="Calibri" w:hAnsi="Times New Roman" w:cs="Times New Roman"/>
                <w:noProof w:val="0"/>
                <w:sz w:val="26"/>
                <w:szCs w:val="26"/>
                <w:lang w:val="ru-RU"/>
              </w:rPr>
              <w:t xml:space="preserve"> Национального Центра Офтальмологии имени академика З.Алиевой Султанова М.М. </w:t>
            </w:r>
          </w:p>
        </w:tc>
      </w:tr>
      <w:tr w:rsidR="00F77F41" w:rsidRPr="00C2121F" w:rsidTr="00F77F41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Руководитель организации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00278B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Профессор, д.м.н.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Г.Ч</w:t>
            </w:r>
            <w:r w:rsidR="00F77F41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.Герайбейли</w:t>
            </w:r>
            <w:proofErr w:type="spellEnd"/>
          </w:p>
        </w:tc>
      </w:tr>
      <w:tr w:rsidR="00F77F41" w:rsidRPr="00C2121F" w:rsidTr="00F77F41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C2121F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Город и год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7F41" w:rsidRPr="0000278B" w:rsidRDefault="00F77F4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Баку 2018 адрес</w:t>
            </w:r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: </w:t>
            </w:r>
            <w:r w:rsid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AZ</w:t>
            </w:r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1022</w:t>
            </w:r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 г. Баку, ул</w:t>
            </w:r>
            <w:r w:rsid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ица </w:t>
            </w:r>
            <w:proofErr w:type="spellStart"/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Бакиханова</w:t>
            </w:r>
            <w:proofErr w:type="spellEnd"/>
            <w:r w:rsidR="0000278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23</w:t>
            </w:r>
          </w:p>
        </w:tc>
      </w:tr>
    </w:tbl>
    <w:p w:rsidR="0000278B" w:rsidRPr="00BE6384" w:rsidRDefault="0000278B" w:rsidP="00E0137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BE6384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Содержание исследования </w:t>
      </w:r>
    </w:p>
    <w:tbl>
      <w:tblPr>
        <w:tblpPr w:leftFromText="180" w:rightFromText="180" w:vertAnchor="text" w:tblpX="-176" w:tblpY="89"/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3"/>
        <w:gridCol w:w="7571"/>
      </w:tblGrid>
      <w:tr w:rsidR="0000278B" w:rsidRPr="00C2121F" w:rsidTr="009B2F65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78B" w:rsidRPr="00C2121F" w:rsidRDefault="0000278B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Название работы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78B" w:rsidRPr="00900980" w:rsidRDefault="0000278B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ru-RU"/>
              </w:rPr>
            </w:pPr>
            <w:r w:rsidRPr="00900980">
              <w:rPr>
                <w:rFonts w:ascii="Times New Roman" w:eastAsia="Calibri" w:hAnsi="Times New Roman" w:cs="Times New Roman"/>
                <w:b/>
                <w:noProof w:val="0"/>
                <w:sz w:val="28"/>
                <w:szCs w:val="28"/>
                <w:lang w:val="ru-RU"/>
              </w:rPr>
              <w:t xml:space="preserve">Предикторы развития и оптимизация методов лечения дакриоцистита новорожденных </w:t>
            </w:r>
          </w:p>
        </w:tc>
      </w:tr>
      <w:tr w:rsidR="0000278B" w:rsidRPr="00C2121F" w:rsidTr="009B2F65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78B" w:rsidRPr="00C2121F" w:rsidRDefault="0000278B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Идея работы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78B" w:rsidRPr="00C2121F" w:rsidRDefault="0000278B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967474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  <w:t>Проблема: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Определение причин увеличения </w:t>
            </w:r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частоты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дакриоцистита новорожденных (ДН) и оптимизация методов лечения. </w:t>
            </w:r>
          </w:p>
          <w:p w:rsidR="0000278B" w:rsidRPr="00C2121F" w:rsidRDefault="0000278B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967474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  <w:t>Основной вопрос (идея)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рассмотреть предикторы развития ДН и сопутствующие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общеклинические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состояни</w:t>
            </w:r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я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новорожденного для оптимизации лечения с использованием эффективных диагностических, иммунобиологических маркеров ранней диагностики заболевания. </w:t>
            </w:r>
          </w:p>
          <w:p w:rsidR="0000278B" w:rsidRPr="00FB2F17" w:rsidRDefault="0000278B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</w:pPr>
            <w:r w:rsidRPr="00FB2F17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  <w:t>Методы исследования.</w:t>
            </w:r>
          </w:p>
          <w:p w:rsidR="00E01372" w:rsidRPr="00E01372" w:rsidRDefault="0000278B" w:rsidP="00E01372">
            <w:pPr>
              <w:pStyle w:val="a3"/>
              <w:numPr>
                <w:ilvl w:val="0"/>
                <w:numId w:val="28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Исследования этой проблемы </w:t>
            </w:r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начинается с наружного </w:t>
            </w:r>
            <w:proofErr w:type="spellStart"/>
            <w:proofErr w:type="gramStart"/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осмотра-оценка</w:t>
            </w:r>
            <w:proofErr w:type="spellEnd"/>
            <w:proofErr w:type="gramEnd"/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наличия </w:t>
            </w:r>
            <w:r w:rsidR="00A0273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 особенностей строения слезных точек, </w:t>
            </w:r>
            <w:proofErr w:type="spellStart"/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слезостояния</w:t>
            </w:r>
            <w:proofErr w:type="spellEnd"/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или слезотечения</w:t>
            </w:r>
            <w:r w:rsidR="00A0273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(эпифора), проведение компрессионной пробы </w:t>
            </w:r>
            <w:r w:rsidR="003A141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на область проекции </w:t>
            </w:r>
            <w:r w:rsidR="00A0273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слезного мешка</w:t>
            </w:r>
            <w:r w:rsidR="003502C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69501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Далее </w:t>
            </w:r>
            <w:r w:rsidR="003A141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будут проводиться методы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сопоставления материалов </w:t>
            </w:r>
            <w:proofErr w:type="spellStart"/>
            <w:proofErr w:type="gramStart"/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рентгено-диагностики</w:t>
            </w:r>
            <w:proofErr w:type="spellEnd"/>
            <w:proofErr w:type="gramEnd"/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 УЗИ, КТ</w:t>
            </w:r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общеклинических</w:t>
            </w:r>
            <w:proofErr w:type="spellEnd"/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и лабораторных исследований (</w:t>
            </w:r>
            <w:r w:rsidR="00CB41C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крови, мочи, испражнений) среди</w:t>
            </w:r>
            <w:r w:rsidR="00CB41C8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 xml:space="preserve"> 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100 доношенных новорожденных и детей </w:t>
            </w:r>
            <w:r w:rsidR="0096747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первого года жизни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у которых развивался  ДН. Будут проводит</w:t>
            </w:r>
            <w:r w:rsidR="0035763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ь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ся микробиологические методы для выявления возбудителей из </w:t>
            </w:r>
            <w:r w:rsidR="00332DA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содержимого конъюнктивальной полости с определением </w:t>
            </w:r>
            <w:r w:rsidR="0038633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чувствительности к антибактериальным препаратам</w:t>
            </w:r>
            <w:r w:rsidR="00FE221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 Н</w:t>
            </w:r>
            <w:r w:rsidR="00FE2215"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амечается использ</w:t>
            </w:r>
            <w:r w:rsidR="00FE221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овать для ранней </w:t>
            </w:r>
            <w:proofErr w:type="spellStart"/>
            <w:r w:rsidR="00FE221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донозологической</w:t>
            </w:r>
            <w:proofErr w:type="spellEnd"/>
            <w:r w:rsidR="00FE221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диагностики ДН 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определение </w:t>
            </w:r>
            <w:proofErr w:type="spellStart"/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лизоцимной</w:t>
            </w:r>
            <w:proofErr w:type="spellEnd"/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lastRenderedPageBreak/>
              <w:t>активности слезы (ЛАС)</w:t>
            </w:r>
            <w:r w:rsidR="00A0085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и</w:t>
            </w:r>
            <w:r w:rsidR="0038633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оксид азота (</w:t>
            </w:r>
            <w:r w:rsidR="0038633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NO</w:t>
            </w:r>
            <w:r w:rsidR="0038633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)</w:t>
            </w:r>
            <w:r w:rsidR="00A0085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A0085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На основе комплексного подхода ожидается о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босновать возможность  </w:t>
            </w:r>
            <w:r w:rsidR="00A0085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нехирургическ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</w:t>
            </w:r>
            <w:r w:rsidR="00A0085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й, 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консервативной терапии, сократить время лечения п</w:t>
            </w:r>
            <w:r w:rsidR="00A0085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редупредить рецидивы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, уменьшая их частоту. </w:t>
            </w:r>
          </w:p>
          <w:p w:rsidR="0000278B" w:rsidRPr="00E01372" w:rsidRDefault="0000278B" w:rsidP="00357636">
            <w:pPr>
              <w:pStyle w:val="a3"/>
              <w:numPr>
                <w:ilvl w:val="0"/>
                <w:numId w:val="28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Будут также ретроспективно изучены медицинск</w:t>
            </w:r>
            <w:r w:rsidR="0035763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е карты доношенных новорожденных </w:t>
            </w:r>
            <w:r w:rsidR="007624D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 детей первого года </w:t>
            </w:r>
            <w:proofErr w:type="gramStart"/>
            <w:r w:rsidR="007624D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жизни</w:t>
            </w:r>
            <w:proofErr w:type="gramEnd"/>
            <w:r w:rsidR="007624D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00E01372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у которых развивался ДН. </w:t>
            </w:r>
          </w:p>
        </w:tc>
      </w:tr>
      <w:tr w:rsidR="0000278B" w:rsidRPr="00C2121F" w:rsidTr="009B2F65"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78B" w:rsidRPr="00C2121F" w:rsidRDefault="0000278B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lastRenderedPageBreak/>
              <w:t xml:space="preserve">Ключевые слова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78B" w:rsidRPr="00C2121F" w:rsidRDefault="00357636" w:rsidP="0038633D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Доношенные новорожденные</w:t>
            </w:r>
            <w:r w:rsidR="0000278B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, дети </w:t>
            </w:r>
            <w:r w:rsidR="0038633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первого года жизни</w:t>
            </w:r>
            <w:r w:rsidR="0000278B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 дакриоцистит новорожденны</w:t>
            </w:r>
            <w:r w:rsidR="0038633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х,</w:t>
            </w:r>
            <w:r w:rsidR="007624D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624D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донозологическая</w:t>
            </w:r>
            <w:proofErr w:type="spellEnd"/>
            <w:r w:rsidR="007624D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диагностика,</w:t>
            </w:r>
            <w:r w:rsidR="0038633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бакте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риологический мониторинг, местны</w:t>
            </w:r>
            <w:r w:rsidR="0000278B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й неспецифический </w:t>
            </w:r>
            <w:proofErr w:type="spellStart"/>
            <w:r w:rsidR="0000278B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иммунитет-лизоцимная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00278B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активность слезы</w:t>
            </w:r>
            <w:r w:rsidR="0038633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 оксид азота (</w:t>
            </w:r>
            <w:r w:rsidR="0038633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NO</w:t>
            </w:r>
            <w:r w:rsidR="0038633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)</w:t>
            </w:r>
            <w:r w:rsidR="0000278B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</w:p>
        </w:tc>
      </w:tr>
      <w:tr w:rsidR="0000278B" w:rsidRPr="00C2121F" w:rsidTr="00294CF4">
        <w:trPr>
          <w:trHeight w:val="768"/>
        </w:trPr>
        <w:tc>
          <w:tcPr>
            <w:tcW w:w="2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78B" w:rsidRPr="00C2121F" w:rsidRDefault="0000278B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Характер работы </w:t>
            </w:r>
          </w:p>
        </w:tc>
        <w:tc>
          <w:tcPr>
            <w:tcW w:w="7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0278B" w:rsidRPr="00C2121F" w:rsidRDefault="0000278B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Клинический </w:t>
            </w:r>
          </w:p>
        </w:tc>
      </w:tr>
    </w:tbl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p w:rsidR="0000278B" w:rsidRPr="00C2121F" w:rsidRDefault="0000278B" w:rsidP="00E0137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209"/>
        <w:gridCol w:w="7397"/>
      </w:tblGrid>
      <w:tr w:rsidR="00024C17" w:rsidRPr="00C2121F" w:rsidTr="00482E47">
        <w:trPr>
          <w:trHeight w:val="119"/>
        </w:trPr>
        <w:tc>
          <w:tcPr>
            <w:tcW w:w="2067" w:type="dxa"/>
            <w:shd w:val="clear" w:color="auto" w:fill="FFFFFF"/>
          </w:tcPr>
          <w:p w:rsidR="00024C17" w:rsidRPr="00C2121F" w:rsidRDefault="00F77F41" w:rsidP="00E0137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lastRenderedPageBreak/>
              <w:t xml:space="preserve">Тип документа </w:t>
            </w:r>
          </w:p>
        </w:tc>
        <w:tc>
          <w:tcPr>
            <w:tcW w:w="7539" w:type="dxa"/>
            <w:vAlign w:val="center"/>
          </w:tcPr>
          <w:p w:rsidR="00024C17" w:rsidRPr="00C2121F" w:rsidRDefault="00F77F41" w:rsidP="00E0137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Аннотация диссертации доктора философии </w:t>
            </w:r>
            <w:r w:rsidR="003C6803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по медицине </w:t>
            </w:r>
          </w:p>
        </w:tc>
      </w:tr>
      <w:tr w:rsidR="00024C17" w:rsidRPr="00C2121F" w:rsidTr="00CC5CC8">
        <w:trPr>
          <w:trHeight w:val="274"/>
        </w:trPr>
        <w:tc>
          <w:tcPr>
            <w:tcW w:w="2067" w:type="dxa"/>
            <w:shd w:val="clear" w:color="auto" w:fill="FFFFFF"/>
          </w:tcPr>
          <w:p w:rsidR="00024C17" w:rsidRPr="00C2121F" w:rsidRDefault="003C6803" w:rsidP="00E0137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Актуальность </w:t>
            </w:r>
          </w:p>
        </w:tc>
        <w:tc>
          <w:tcPr>
            <w:tcW w:w="7539" w:type="dxa"/>
          </w:tcPr>
          <w:p w:rsidR="00846527" w:rsidRDefault="00846527" w:rsidP="0084652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2773">
              <w:rPr>
                <w:rFonts w:ascii="Times New Roman" w:hAnsi="Times New Roman" w:cs="Times New Roman"/>
                <w:sz w:val="28"/>
                <w:szCs w:val="28"/>
              </w:rPr>
              <w:t>На пороге третьего тысячелетия, особенно за последние годы, дакриоцистит новорожденных (ДН) является наиболее частым угрожающи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2773">
              <w:rPr>
                <w:rFonts w:ascii="Times New Roman" w:hAnsi="Times New Roman" w:cs="Times New Roman"/>
                <w:sz w:val="28"/>
                <w:szCs w:val="28"/>
              </w:rPr>
              <w:t xml:space="preserve"> жизни своими последствиями гной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F2773">
              <w:rPr>
                <w:rFonts w:ascii="Times New Roman" w:hAnsi="Times New Roman" w:cs="Times New Roman"/>
                <w:sz w:val="28"/>
                <w:szCs w:val="28"/>
              </w:rPr>
              <w:t>о-восп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2773">
              <w:rPr>
                <w:rFonts w:ascii="Times New Roman" w:hAnsi="Times New Roman" w:cs="Times New Roman"/>
                <w:sz w:val="28"/>
                <w:szCs w:val="28"/>
              </w:rPr>
              <w:t xml:space="preserve">лительным заболеванием органа зрения и его придаточного аппарата у детей первого года жизни. Частота возникновения ДН, как одного из основных врожденных болезней глазного аппарата, составляет от 2 до 7% всех новорожденных и от 20-до 27% всей офтальмопатологии раннего возраста  (Байменов А.Ж. 2011, 2016; Аректова Н.Н. 2013).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Врожденная обструкция носослезного протока (НСП) по данным зарубежных авторов (Кански Джек Д.,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Perven</w:t>
            </w:r>
            <w:r w:rsidRPr="003F4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F47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2014) достигает 20-30%.</w:t>
            </w:r>
          </w:p>
          <w:p w:rsidR="00846527" w:rsidRPr="00A46049" w:rsidRDefault="00846527" w:rsidP="00846527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Каждый вид обструкции НСП: персистирующая желатиноподобная пробка или соединительнотканная мембрана в носовом устье НСП на уровне клапана Гаснера, недоразвитие слезоотводящих путей (СОП) в виде стенозов и структур на различных уровнях НСП, дакриоцистоцеле, дакриодуктоцеле, облитерации и атрезии НСП требует адекватного лечения, однако 100% эффективности не имеет ни один метод 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Ali</w:t>
            </w:r>
            <w:r w:rsidRPr="00A46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46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Psaltis</w:t>
            </w:r>
            <w:r w:rsidRPr="00A46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Brun</w:t>
            </w:r>
            <w:r w:rsidRPr="00A46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Worth</w:t>
            </w:r>
            <w:r w:rsidRPr="00A46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A46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A46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460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единой точки зрения на возрастные сроки хирургии.</w:t>
            </w:r>
          </w:p>
          <w:p w:rsidR="004C4E78" w:rsidRDefault="00FA41E2" w:rsidP="00E0137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Таким образом, не вызывает сомнений </w:t>
            </w:r>
            <w:r w:rsidR="009D00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ф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акт</w:t>
            </w:r>
            <w:r w:rsidR="009D00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что проблема ДН, уже только в силу высокой распространенности заболевания, остается одной из важных </w:t>
            </w:r>
            <w:r w:rsidR="009D00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детских патологий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 Известные достижения по данной проблеме касаются некоторых методик ди</w:t>
            </w:r>
            <w:r w:rsidR="009D00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агностики, лечения уже развившей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ся патологии в форме дакриоцистита б</w:t>
            </w:r>
            <w:r w:rsidR="009D00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з учета материнского фактора во время беременности</w:t>
            </w:r>
            <w:r w:rsidR="009D00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 также сопутствующего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lastRenderedPageBreak/>
              <w:t>общеклиничес</w:t>
            </w:r>
            <w:r w:rsidR="005C3E1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кого</w:t>
            </w:r>
            <w:proofErr w:type="spellEnd"/>
            <w:r w:rsidR="005C3E1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состояния новорожденных, б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</w:t>
            </w:r>
            <w:r w:rsidR="005C3E1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з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анализ</w:t>
            </w:r>
            <w:r w:rsidR="005C3E1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</w:t>
            </w:r>
            <w:r w:rsidR="0029773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предикторов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р</w:t>
            </w:r>
            <w:r w:rsidR="005C3E1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азвития и причин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манифестации патологии. </w:t>
            </w:r>
            <w:r w:rsidR="00DB76A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</w:t>
            </w:r>
            <w:r w:rsidR="00BE6384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оминирует</w:t>
            </w:r>
            <w:r w:rsidR="004C4E78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представление, что ДН возникает в связи с задержкой открытия костной части носослезного протока к моменту рождения или в первые недели жизни ребенка вследствие </w:t>
            </w:r>
            <w:r w:rsidR="00BE6384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не рассосавшейся</w:t>
            </w:r>
            <w:r w:rsidR="004C4E78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зародышевой желатиноподобной пробки из слизи и омертвевших эмбриональных клеток или эмбриональной рудиментарной мембр</w:t>
            </w:r>
            <w:r w:rsidR="00BE638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аны, закрывающий выход из </w:t>
            </w:r>
            <w:proofErr w:type="spellStart"/>
            <w:r w:rsidR="00BE638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слез</w:t>
            </w:r>
            <w:r w:rsidR="00721DC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</w:t>
            </w:r>
            <w:r w:rsidR="004C4E78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носового</w:t>
            </w:r>
            <w:proofErr w:type="spellEnd"/>
            <w:r w:rsidR="004C4E78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канала в полость  носа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(недоразвитые, </w:t>
            </w:r>
            <w:proofErr w:type="spellStart"/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неперфорировавшиеся</w:t>
            </w:r>
            <w:proofErr w:type="spellEnd"/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к рождению клапаны </w:t>
            </w:r>
            <w:proofErr w:type="spellStart"/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Rosenmuller</w:t>
            </w:r>
            <w:proofErr w:type="spellEnd"/>
            <w:r w:rsidR="00A46DC7" w:rsidRP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Hasner</w:t>
            </w:r>
            <w:proofErr w:type="spellEnd"/>
            <w:proofErr w:type="gramStart"/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)</w:t>
            </w:r>
            <w:proofErr w:type="gramEnd"/>
            <w:r w:rsidR="004C4E78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</w:p>
          <w:p w:rsidR="00482E47" w:rsidRPr="00C2121F" w:rsidRDefault="00482E47" w:rsidP="00E0137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Однако</w:t>
            </w:r>
            <w:proofErr w:type="gramStart"/>
            <w:r w:rsidR="00721DC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правочно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рассматривать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озникновени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воспаления слезного мешка и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слез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отводящего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аппарата как последствие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внутриутробно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перенесенной инфекции. Практически, сопу</w:t>
            </w:r>
            <w:r w:rsidR="000F2B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т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ствующие клинические состояния новорожденных</w:t>
            </w:r>
            <w:r w:rsidR="00721DC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 требующие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однозначной коррекции и лечения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выводят ДН из рамки типичной офтальмологической  в статус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неонатальной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педиатрии. В современной трактовке ДН расценивается как нечто промежуточное между аномалией развития и приобретенной патологи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й новорожденных</w:t>
            </w:r>
            <w:r w:rsidR="00721DC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является как бы пог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раничной проблемой офтальмологии и педиатрии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</w:p>
          <w:p w:rsidR="00336DFB" w:rsidRDefault="00336DFB" w:rsidP="00E0137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Несмотря на то что, у некоторых детей в течение первого года жизни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слезоотведение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может восстановиться самопроизвольно, отсутствие своевременн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ого лечение ДН </w:t>
            </w:r>
            <w:proofErr w:type="gramStart"/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 последствии</w:t>
            </w:r>
            <w:proofErr w:type="gramEnd"/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не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редко требует сложных хирургических вмешательств.   </w:t>
            </w:r>
          </w:p>
          <w:p w:rsidR="004C4E78" w:rsidRDefault="004C4E78" w:rsidP="00E0137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Основным методом лечения ДН остается зондирование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слезоотводящих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путей (ЗСП) с целью восстановления их проходимости. При этом частота рецидивов заболевания по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lastRenderedPageBreak/>
              <w:t>данным разных авто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ров составляет от 12% до 26% (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Wong</w:t>
            </w:r>
            <w:r w:rsidR="00BE360A" w:rsidRP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</w:t>
            </w:r>
            <w:r w:rsidR="00BE360A" w:rsidRP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W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  <w:r w:rsidR="00BE360A" w:rsidRP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2011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;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B1687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Аре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стова</w:t>
            </w:r>
            <w:proofErr w:type="spellEnd"/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Н.Н. 2013;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Галеева</w:t>
            </w:r>
            <w:proofErr w:type="spellEnd"/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Г.З.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2013)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. По мнению других авторов в 87% случаев повторные неоднократные </w:t>
            </w:r>
            <w:r w:rsidR="00AB5D41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зондирования носослезного канала не дают эффекта. Сама процедура ЗСП не безопасна и может привести к </w:t>
            </w:r>
            <w:r w:rsidR="00DB76A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тяжелым </w:t>
            </w:r>
            <w:proofErr w:type="spellStart"/>
            <w:r w:rsidR="00DB76A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жизнеугрожающим</w:t>
            </w:r>
            <w:proofErr w:type="spellEnd"/>
            <w:r w:rsidR="00DB76A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AB5D41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осложнениям (тромбофлебит вен ли</w:t>
            </w:r>
            <w:r w:rsidR="00482E4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ца, фле</w:t>
            </w:r>
            <w:r w:rsidR="00AB5D41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гмона орбиты, </w:t>
            </w:r>
            <w:proofErr w:type="spellStart"/>
            <w:r w:rsidR="00AB5D41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менингоэнцефалит</w:t>
            </w:r>
            <w:proofErr w:type="spellEnd"/>
            <w:r w:rsidR="00AB5D41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)</w:t>
            </w:r>
            <w:r w:rsidR="00482E4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</w:p>
          <w:p w:rsidR="00482E47" w:rsidRDefault="00482E47" w:rsidP="00E01372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Не менее важной проблемой при зондировании пациентов с ДН является проблема рубцевания, нередко такие осложнения составляют основу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рецидивирования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заболевания при  катамнестическом наблюдении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(Тул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ебаев Р.К., </w:t>
            </w:r>
            <w:proofErr w:type="spellStart"/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Байменов</w:t>
            </w:r>
            <w:proofErr w:type="spellEnd"/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А.Ж. 2015;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Тулебаев Р.К. и другие 2016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</w:p>
          <w:p w:rsidR="00482E47" w:rsidRDefault="00482E47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Из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-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за рецидивов, зачастую отсутствия эффекта с необходимостью повторных зондирований, возможности угрожающих жизни осложнений, к настоящему времени </w:t>
            </w:r>
            <w:r w:rsidR="0084652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эффективность хирургии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больны</w:t>
            </w:r>
            <w:r w:rsidR="00EC65C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х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ДН нельзя признать полностью решенной, а</w:t>
            </w:r>
            <w:r w:rsidR="0084652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методы нехирургического </w:t>
            </w:r>
            <w:proofErr w:type="spellStart"/>
            <w:r w:rsidR="0084652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лечения-и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счерпанной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Б</w:t>
            </w:r>
            <w:r w:rsidR="00BE360A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ольшинство исследователей считают, что повышенное число противопоказани</w:t>
            </w:r>
            <w:proofErr w:type="gramStart"/>
            <w:r w:rsidR="00BE360A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й</w:t>
            </w:r>
            <w:r w:rsidR="0084652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-</w:t>
            </w:r>
            <w:proofErr w:type="gramEnd"/>
            <w:r w:rsidR="0084652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острые респираторные заболевания, тяжел</w:t>
            </w:r>
            <w:r w:rsidR="0084652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ая общая соматическая патология</w:t>
            </w:r>
            <w:r w:rsidR="00BE360A"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имеющиеся возрастные ограничения, а также низкий процент однократной эффективности её р</w:t>
            </w:r>
            <w:r w:rsidR="00EC65C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езультатов, являются объективно-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обоснованными показаниями для раннего</w:t>
            </w:r>
            <w:r w:rsidR="0084652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альтернативного нехирургического</w:t>
            </w:r>
            <w:r w:rsidR="00BE360A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вмешательства.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Это предопределяет комплексный по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дход к решению данной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проблемы-</w:t>
            </w:r>
            <w:r w:rsidR="0084652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донозологическая</w:t>
            </w:r>
            <w:proofErr w:type="spellEnd"/>
            <w:r w:rsidR="0084652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диагностика,</w:t>
            </w:r>
            <w:r w:rsidR="00EC65C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рациональная оптимизация консервативной терапии,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 при </w:t>
            </w:r>
            <w:r w:rsidR="00EC65C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необходимости зондировани</w:t>
            </w:r>
            <w:proofErr w:type="gramStart"/>
            <w:r w:rsidR="00EC65C9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-</w:t>
            </w:r>
            <w:proofErr w:type="gramEnd"/>
            <w:r w:rsidR="0084652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минимизация 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инвазивного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вмешательств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</w:p>
          <w:p w:rsidR="00E02BF1" w:rsidRPr="00C2121F" w:rsidRDefault="00482E47" w:rsidP="00A46DC7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lastRenderedPageBreak/>
              <w:t xml:space="preserve">Таким образом, предварительные результаты собственных исследований и современные данные литературы свидетельствуют о высокой актуальности проблемы ДН,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при том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, что исследования региональных особенностей ДН в Азербайджане практически не проводились. </w:t>
            </w:r>
            <w:r w:rsidR="00920E7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Вероятно, п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роявлению ДН способствуют определенные факторы риска со стороны матери и ребенка. Выявление предикторов развития ДН с большой вероятностью </w:t>
            </w:r>
            <w:r w:rsidR="00920E7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могут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способст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вова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т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первичной антенатальной профилактике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="00920E7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таких как 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создание оптимал</w:t>
            </w:r>
            <w:r w:rsidR="00920E7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ьных условий для развития плода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, устранению или уменьшению влияния неблагоприятных факторов внешней среды на организм беременной женщины, на формирование плода и органа зрения для предупреждения врожденных заболеваний глаз. Все это имеет большое значение и для постнатального развития органа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зрения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поскольку основы его закладываются в период внутриутробного морфогенеза. В связи с высокой актуальностью вышеуказанной проблемы, оптимизация ранней </w:t>
            </w:r>
            <w:proofErr w:type="spellStart"/>
            <w:r w:rsidR="00920E7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донозологической</w:t>
            </w:r>
            <w:proofErr w:type="spellEnd"/>
            <w:r w:rsidR="00920E7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диагностики ДН приобретает первостепенное  значение. Оценка степени воспаления с помощью УЗИ затруднена и ненадежна</w:t>
            </w:r>
            <w:r w:rsidR="007C73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компьютерная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томограмма</w:t>
            </w:r>
            <w:proofErr w:type="spellEnd"/>
            <w:r w:rsidR="007F18E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7C73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особенно</w:t>
            </w:r>
            <w:r w:rsidR="007F18E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="007C73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 отсутствии возможных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видимых проявлений в здоровом глазу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последующей запоздалой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диагностикой</w:t>
            </w:r>
            <w:r w:rsidR="007C73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-дорогостоящая</w:t>
            </w:r>
            <w:proofErr w:type="spellEnd"/>
            <w:r w:rsidR="007C73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процедура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 этом контексте о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пределение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лизоцимной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активности слезы и бактериальной обсемененности, стру</w:t>
            </w:r>
            <w:r w:rsidR="007C73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ктуры колонизирующей микрофлоры конъюнктивальной жидкости,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содержание оксида азота (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NO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) в плазме крови как маркера воспалительной реакции</w:t>
            </w:r>
            <w:r w:rsidR="007C73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 могу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т служить эффективными критериями ранней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lastRenderedPageBreak/>
              <w:t>диагностики</w:t>
            </w:r>
            <w:r w:rsidR="007C73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и показателя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м</w:t>
            </w:r>
            <w:r w:rsidR="007C73A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эффективности лечения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</w:p>
        </w:tc>
        <w:bookmarkStart w:id="0" w:name="_GoBack"/>
        <w:bookmarkEnd w:id="0"/>
      </w:tr>
      <w:tr w:rsidR="00E02BF1" w:rsidRPr="00C2121F" w:rsidTr="00344FD7">
        <w:trPr>
          <w:trHeight w:val="1694"/>
        </w:trPr>
        <w:tc>
          <w:tcPr>
            <w:tcW w:w="2067" w:type="dxa"/>
            <w:shd w:val="clear" w:color="auto" w:fill="FFFFFF"/>
            <w:vAlign w:val="center"/>
          </w:tcPr>
          <w:p w:rsidR="00E02BF1" w:rsidRPr="00C2121F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lastRenderedPageBreak/>
              <w:t xml:space="preserve">Цель исследования </w:t>
            </w:r>
          </w:p>
        </w:tc>
        <w:tc>
          <w:tcPr>
            <w:tcW w:w="7539" w:type="dxa"/>
            <w:vAlign w:val="center"/>
          </w:tcPr>
          <w:p w:rsidR="00344FD7" w:rsidRPr="00C2121F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Оптимизация ранней диагностики и клинико-функциональных результатов лечения дакриоцистита новорожденных. </w:t>
            </w:r>
          </w:p>
        </w:tc>
      </w:tr>
      <w:tr w:rsidR="00E02BF1" w:rsidRPr="00C2121F" w:rsidTr="00A46DC7">
        <w:trPr>
          <w:trHeight w:val="423"/>
        </w:trPr>
        <w:tc>
          <w:tcPr>
            <w:tcW w:w="2067" w:type="dxa"/>
            <w:shd w:val="clear" w:color="auto" w:fill="FFFFFF"/>
            <w:vAlign w:val="center"/>
          </w:tcPr>
          <w:p w:rsidR="00E02BF1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Задачи исследования </w:t>
            </w:r>
          </w:p>
        </w:tc>
        <w:tc>
          <w:tcPr>
            <w:tcW w:w="7539" w:type="dxa"/>
            <w:vAlign w:val="center"/>
          </w:tcPr>
          <w:p w:rsidR="00E02BF1" w:rsidRDefault="00E02BF1" w:rsidP="00E01372">
            <w:pPr>
              <w:pStyle w:val="a3"/>
              <w:numPr>
                <w:ilvl w:val="0"/>
                <w:numId w:val="19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Провести ретроспективный анализ медицинских карт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доношенных новорожденных с ДН</w:t>
            </w:r>
            <w:r w:rsidR="00BB33C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для информации о заболевании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="00BB33C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причинах его возникновения, прогрессирования  </w:t>
            </w:r>
            <w:proofErr w:type="gramStart"/>
            <w:r w:rsidR="00BB33C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</w:t>
            </w:r>
            <w:proofErr w:type="gramEnd"/>
            <w:r w:rsidR="00BB33C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BB33C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учетам</w:t>
            </w:r>
            <w:proofErr w:type="gramEnd"/>
            <w:r w:rsidR="00BB33C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влияния социальных, наследственных, возрастных факторов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;</w:t>
            </w:r>
          </w:p>
          <w:p w:rsidR="00E02BF1" w:rsidRPr="00713EA6" w:rsidRDefault="00E02BF1" w:rsidP="00713EA6">
            <w:pPr>
              <w:pStyle w:val="a3"/>
              <w:numPr>
                <w:ilvl w:val="0"/>
                <w:numId w:val="19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Выявить этиологическую структуру факторов риска развития ДН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 у</w:t>
            </w:r>
            <w:r w:rsidRP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становить корреляцию между этими 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факторами;</w:t>
            </w:r>
          </w:p>
          <w:p w:rsidR="00E02BF1" w:rsidRDefault="00E02BF1" w:rsidP="00E01372">
            <w:pPr>
              <w:pStyle w:val="a3"/>
              <w:numPr>
                <w:ilvl w:val="0"/>
                <w:numId w:val="19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Провести мониторинг микрофлоры слезного мешка при различных клиническ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их формах ДН и в здоровом глазу;</w:t>
            </w:r>
          </w:p>
          <w:p w:rsidR="00E02BF1" w:rsidRDefault="00E02BF1" w:rsidP="00E01372">
            <w:pPr>
              <w:pStyle w:val="a3"/>
              <w:numPr>
                <w:ilvl w:val="0"/>
                <w:numId w:val="19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Изучить нарушения неспецифической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резистентности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конъюнктивы при различных формах ДН по результатам определения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ли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зоцимной</w:t>
            </w:r>
            <w:proofErr w:type="spellEnd"/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активности слезы (Л</w:t>
            </w:r>
            <w:r w:rsidR="007F18E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С);</w:t>
            </w:r>
          </w:p>
          <w:p w:rsidR="00E02BF1" w:rsidRDefault="00E02BF1" w:rsidP="00E01372">
            <w:pPr>
              <w:pStyle w:val="a3"/>
              <w:numPr>
                <w:ilvl w:val="0"/>
                <w:numId w:val="19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Определить значимость биохимических маркеро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-</w:t>
            </w:r>
            <w:proofErr w:type="gramEnd"/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оксида азота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NO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) в оптимизации ранней диагностик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</w:t>
            </w:r>
            <w:r w:rsid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 и тактике ведения детей с ДН;</w:t>
            </w:r>
          </w:p>
          <w:p w:rsidR="00E02BF1" w:rsidRPr="00713EA6" w:rsidRDefault="00E02BF1" w:rsidP="00713EA6">
            <w:pPr>
              <w:pStyle w:val="a3"/>
              <w:numPr>
                <w:ilvl w:val="0"/>
                <w:numId w:val="19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Разработать этапное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патогенетически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обоснованное лечение разных клинических форм ДН с учетом микробного спектра</w:t>
            </w:r>
            <w:r w:rsidR="00A46DC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уровня ЛОС и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NO</w:t>
            </w:r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позволяющее сократить время лечения, предупредить рецидивы, уменьшить их частоту.</w:t>
            </w:r>
          </w:p>
        </w:tc>
      </w:tr>
      <w:tr w:rsidR="00713EA6" w:rsidRPr="00C2121F" w:rsidTr="00713EA6">
        <w:trPr>
          <w:trHeight w:val="983"/>
        </w:trPr>
        <w:tc>
          <w:tcPr>
            <w:tcW w:w="2067" w:type="dxa"/>
            <w:shd w:val="clear" w:color="auto" w:fill="FFFFFF"/>
            <w:vAlign w:val="center"/>
          </w:tcPr>
          <w:p w:rsidR="00713EA6" w:rsidRPr="00713EA6" w:rsidRDefault="00713EA6" w:rsidP="00713EA6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13EA6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>Оригинальность</w:t>
            </w:r>
          </w:p>
          <w:p w:rsidR="00713EA6" w:rsidRPr="00713EA6" w:rsidRDefault="00713EA6" w:rsidP="00713EA6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713EA6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>(новизна)</w:t>
            </w:r>
          </w:p>
          <w:p w:rsidR="00713EA6" w:rsidRPr="00713EA6" w:rsidRDefault="00713EA6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</w:p>
        </w:tc>
        <w:tc>
          <w:tcPr>
            <w:tcW w:w="7539" w:type="dxa"/>
            <w:vAlign w:val="center"/>
          </w:tcPr>
          <w:p w:rsidR="00713EA6" w:rsidRDefault="00713EA6" w:rsidP="00713EA6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lastRenderedPageBreak/>
              <w:t>Впервые будет:</w:t>
            </w:r>
          </w:p>
          <w:p w:rsidR="00713EA6" w:rsidRPr="00713EA6" w:rsidRDefault="00713EA6" w:rsidP="00713EA6">
            <w:pPr>
              <w:pStyle w:val="a3"/>
              <w:numPr>
                <w:ilvl w:val="0"/>
                <w:numId w:val="21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</w:t>
            </w:r>
            <w:r w:rsidRP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сследован микробный спектр возбудителей </w:t>
            </w:r>
            <w:r w:rsidRP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lastRenderedPageBreak/>
              <w:t xml:space="preserve">различных форм ДН: </w:t>
            </w:r>
            <w:proofErr w:type="gramStart"/>
            <w:r w:rsidRP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катаральным</w:t>
            </w:r>
            <w:proofErr w:type="gramEnd"/>
            <w:r w:rsidRP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(КДН), гнойным </w:t>
            </w:r>
            <w:r w:rsidR="007F18E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(</w:t>
            </w:r>
            <w:r w:rsidRP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ГДН</w:t>
            </w:r>
            <w:r w:rsidR="007F18E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)</w:t>
            </w:r>
            <w:r w:rsidRP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и выявлены наиболее эффективные препараты для лечения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;</w:t>
            </w:r>
            <w:r w:rsidRP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  <w:p w:rsidR="00713EA6" w:rsidRDefault="00713EA6" w:rsidP="00713EA6">
            <w:pPr>
              <w:pStyle w:val="a3"/>
              <w:numPr>
                <w:ilvl w:val="0"/>
                <w:numId w:val="21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Определены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корреляция между видом бактерий, вызвавших ДН</w:t>
            </w:r>
            <w:r w:rsidR="001C5E9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уровнем </w:t>
            </w:r>
            <w:r w:rsidR="001C5E9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1C5E9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NO</w:t>
            </w:r>
            <w:r w:rsidR="001C5E98" w:rsidRPr="001C5E9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1C5E9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ЛАС в больном и парном здоровом глазу;</w:t>
            </w:r>
          </w:p>
          <w:p w:rsidR="00583113" w:rsidRPr="00583113" w:rsidRDefault="00583113" w:rsidP="00583113">
            <w:pPr>
              <w:pStyle w:val="a3"/>
              <w:numPr>
                <w:ilvl w:val="0"/>
                <w:numId w:val="21"/>
              </w:numPr>
              <w:pBdr>
                <w:bar w:val="single" w:sz="2" w:color="auto"/>
              </w:pBdr>
              <w:spacing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 w:rsidRPr="0058311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Анализированы взаимоотношения системы </w:t>
            </w:r>
            <w:proofErr w:type="spellStart"/>
            <w:r w:rsidRPr="0058311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слезоотведения</w:t>
            </w:r>
            <w:proofErr w:type="spellEnd"/>
            <w:r w:rsidRPr="0058311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 характеристикой функциональных резервов организма, как показатель профилактического направления в педиатрии на примере ДН. </w:t>
            </w:r>
          </w:p>
          <w:p w:rsidR="00713EA6" w:rsidRDefault="00713EA6" w:rsidP="00713EA6">
            <w:pPr>
              <w:pStyle w:val="a3"/>
              <w:numPr>
                <w:ilvl w:val="0"/>
                <w:numId w:val="21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Разработано этапное,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патогенетически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обоснованное лечение ДН, </w:t>
            </w:r>
            <w:r w:rsidR="00D25F0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позволяющее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сократить время лечения</w:t>
            </w:r>
            <w:r w:rsidR="00B32E1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 снизить процент детей, подлежащих зондированию</w:t>
            </w:r>
            <w:r w:rsidR="007C24F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="00B32E1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B32E1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 также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число рецидивов, требующие повторных зондирований;</w:t>
            </w:r>
          </w:p>
          <w:p w:rsidR="00713EA6" w:rsidRPr="00713EA6" w:rsidRDefault="00713EA6" w:rsidP="00713EA6">
            <w:pPr>
              <w:pStyle w:val="a3"/>
              <w:numPr>
                <w:ilvl w:val="0"/>
                <w:numId w:val="21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</w:t>
            </w:r>
            <w:r w:rsidRP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роведено консервативное лечение ДН препаратами глазных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форм для детей на основе лизоцим</w:t>
            </w:r>
            <w:r w:rsidRPr="00713EA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а.</w:t>
            </w:r>
          </w:p>
        </w:tc>
      </w:tr>
      <w:tr w:rsidR="00E02BF1" w:rsidRPr="00C2121F" w:rsidTr="004139EA">
        <w:trPr>
          <w:trHeight w:val="1982"/>
        </w:trPr>
        <w:tc>
          <w:tcPr>
            <w:tcW w:w="2067" w:type="dxa"/>
            <w:shd w:val="clear" w:color="auto" w:fill="FFFFFF"/>
            <w:vAlign w:val="center"/>
          </w:tcPr>
          <w:p w:rsidR="00E02BF1" w:rsidRPr="00C2121F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lastRenderedPageBreak/>
              <w:t xml:space="preserve">Научная и практическая значимость </w:t>
            </w:r>
          </w:p>
        </w:tc>
        <w:tc>
          <w:tcPr>
            <w:tcW w:w="7539" w:type="dxa"/>
            <w:vAlign w:val="center"/>
          </w:tcPr>
          <w:p w:rsidR="00E02BF1" w:rsidRPr="00066116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Результаты проведенных исследований могут быть использованы для ранней</w:t>
            </w:r>
            <w:r w:rsidR="00B32E1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32E1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донозологической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диагностики ДН и оптимизации их лечения, сокращения времени лечения, предупреждения рецидивов, уменьшения их частоты</w:t>
            </w:r>
            <w:r w:rsidR="00B32E1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и числа детей</w:t>
            </w:r>
            <w:r w:rsidR="007C24F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="00B32E1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подлежащих зондированию</w:t>
            </w:r>
            <w:proofErr w:type="gramStart"/>
            <w:r w:rsidR="00B32E1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E02BF1" w:rsidRPr="00C2121F" w:rsidTr="004139EA">
        <w:trPr>
          <w:trHeight w:val="1982"/>
        </w:trPr>
        <w:tc>
          <w:tcPr>
            <w:tcW w:w="2067" w:type="dxa"/>
            <w:shd w:val="clear" w:color="auto" w:fill="FFFFFF"/>
            <w:vAlign w:val="center"/>
          </w:tcPr>
          <w:p w:rsidR="00E02BF1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Материал </w:t>
            </w:r>
          </w:p>
        </w:tc>
        <w:tc>
          <w:tcPr>
            <w:tcW w:w="7539" w:type="dxa"/>
            <w:vAlign w:val="center"/>
          </w:tcPr>
          <w:p w:rsidR="00E02BF1" w:rsidRDefault="00E02BF1" w:rsidP="0023367C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 работе на</w:t>
            </w:r>
            <w:r w:rsidR="004B182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мечается обследование 100 детей первого года жизни, у которых развивал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</w:t>
            </w:r>
            <w:r w:rsidR="004B182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ДН и 20 детей контрольной группы без р</w:t>
            </w:r>
            <w:r w:rsidR="004B182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азвития этой болезни, обратившиеся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на профилактический осмотр в </w:t>
            </w:r>
            <w:r w:rsidR="0023367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поликлинику НИИ Педиатрии им.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К.Я.Фараджевой</w:t>
            </w:r>
            <w:proofErr w:type="spellEnd"/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и детское отделение </w:t>
            </w:r>
            <w:r w:rsidR="007F18E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Национального </w:t>
            </w:r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Центра</w:t>
            </w:r>
            <w:r w:rsidR="004B182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Офтальмологии имени</w:t>
            </w:r>
            <w:r w:rsidR="0023367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академика </w:t>
            </w:r>
            <w:r w:rsidR="004B182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З.Алиевой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.  </w:t>
            </w:r>
          </w:p>
        </w:tc>
      </w:tr>
      <w:tr w:rsidR="00E02BF1" w:rsidRPr="00C2121F" w:rsidTr="00F05C47">
        <w:trPr>
          <w:trHeight w:val="945"/>
        </w:trPr>
        <w:tc>
          <w:tcPr>
            <w:tcW w:w="2067" w:type="dxa"/>
            <w:shd w:val="clear" w:color="auto" w:fill="FFFFFF"/>
            <w:vAlign w:val="center"/>
          </w:tcPr>
          <w:p w:rsidR="00E02BF1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lastRenderedPageBreak/>
              <w:t xml:space="preserve">Критерии включения </w:t>
            </w:r>
          </w:p>
        </w:tc>
        <w:tc>
          <w:tcPr>
            <w:tcW w:w="7539" w:type="dxa"/>
            <w:vAlign w:val="center"/>
          </w:tcPr>
          <w:p w:rsidR="00E02BF1" w:rsidRDefault="004B3485" w:rsidP="00C0283B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 исследовательскую работу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будут </w:t>
            </w:r>
            <w:r w:rsidR="004B182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вклю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чены доношенные новорожденные</w:t>
            </w:r>
            <w:r w:rsidR="000967E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 врожденной обструкци</w:t>
            </w:r>
            <w:r w:rsidR="00C0283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ей</w:t>
            </w:r>
            <w:r w:rsidR="000967E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носослезного протока 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и дети</w:t>
            </w:r>
            <w:r w:rsidR="004B182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первого года жизни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 ДН.</w:t>
            </w:r>
          </w:p>
        </w:tc>
      </w:tr>
      <w:tr w:rsidR="00E02BF1" w:rsidRPr="00C2121F" w:rsidTr="00CE0DFB">
        <w:trPr>
          <w:trHeight w:val="1982"/>
        </w:trPr>
        <w:tc>
          <w:tcPr>
            <w:tcW w:w="2067" w:type="dxa"/>
            <w:shd w:val="clear" w:color="auto" w:fill="FFFFFF"/>
            <w:vAlign w:val="center"/>
          </w:tcPr>
          <w:p w:rsidR="00E02BF1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Критерии исключения </w:t>
            </w:r>
          </w:p>
        </w:tc>
        <w:tc>
          <w:tcPr>
            <w:tcW w:w="7539" w:type="dxa"/>
            <w:vAlign w:val="center"/>
          </w:tcPr>
          <w:p w:rsidR="00E02BF1" w:rsidRDefault="00E02BF1" w:rsidP="004B3485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В исследовании не будут </w:t>
            </w:r>
            <w:r w:rsidR="004B182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вклю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чены дети с флегмонозным ДН</w:t>
            </w:r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связи с тяжестью со</w:t>
            </w:r>
            <w:r w:rsidR="004B182D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стояния, с первых часов получавшие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системные и местные антибиотики, что могло бы привести к недостоверным результатам исследования</w:t>
            </w:r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и недоношенные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. </w:t>
            </w:r>
            <w:proofErr w:type="gramEnd"/>
          </w:p>
        </w:tc>
      </w:tr>
      <w:tr w:rsidR="00E02BF1" w:rsidRPr="00C2121F" w:rsidTr="00CE0DFB">
        <w:trPr>
          <w:trHeight w:val="1982"/>
        </w:trPr>
        <w:tc>
          <w:tcPr>
            <w:tcW w:w="2067" w:type="dxa"/>
            <w:shd w:val="clear" w:color="auto" w:fill="FFFFFF"/>
            <w:vAlign w:val="center"/>
          </w:tcPr>
          <w:p w:rsidR="00E02BF1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Методы </w:t>
            </w:r>
          </w:p>
        </w:tc>
        <w:tc>
          <w:tcPr>
            <w:tcW w:w="7539" w:type="dxa"/>
            <w:vAlign w:val="center"/>
          </w:tcPr>
          <w:p w:rsidR="00E02BF1" w:rsidRDefault="004B182D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Клинические </w:t>
            </w:r>
            <w:r w:rsidR="00B1021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B1021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параклинические</w:t>
            </w:r>
            <w:proofErr w:type="spellEnd"/>
            <w:r w:rsidR="00B1021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методы диагностики основных нозологических форм ДН,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консультац</w:t>
            </w:r>
            <w:r w:rsidR="003B447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ию отоларинголога, офтальмолога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:</w:t>
            </w:r>
          </w:p>
          <w:p w:rsidR="00E02BF1" w:rsidRDefault="00E02BF1" w:rsidP="00E01372">
            <w:pPr>
              <w:pStyle w:val="a3"/>
              <w:numPr>
                <w:ilvl w:val="0"/>
                <w:numId w:val="22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Микробиологические методы, направленные на </w:t>
            </w:r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выявление возбудителей в конъюнктивальной жидкости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;</w:t>
            </w:r>
          </w:p>
          <w:p w:rsidR="00E02BF1" w:rsidRDefault="00E02BF1" w:rsidP="00E01372">
            <w:pPr>
              <w:pStyle w:val="a3"/>
              <w:numPr>
                <w:ilvl w:val="0"/>
                <w:numId w:val="22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Определе</w:t>
            </w:r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ние </w:t>
            </w:r>
            <w:proofErr w:type="spellStart"/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лизоцимной</w:t>
            </w:r>
            <w:proofErr w:type="spellEnd"/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активности слезы;</w:t>
            </w:r>
          </w:p>
          <w:p w:rsidR="00CE3FFD" w:rsidRDefault="00CE3FFD" w:rsidP="00E01372">
            <w:pPr>
              <w:pStyle w:val="a3"/>
              <w:numPr>
                <w:ilvl w:val="0"/>
                <w:numId w:val="22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Биохимический тест-определение оксид азота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NO</w:t>
            </w:r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 плазме крови;</w:t>
            </w:r>
          </w:p>
          <w:p w:rsidR="00E02BF1" w:rsidRDefault="00CE3FFD" w:rsidP="00E01372">
            <w:pPr>
              <w:pStyle w:val="a3"/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Инструментальные исследования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: </w:t>
            </w:r>
          </w:p>
          <w:p w:rsidR="00E02BF1" w:rsidRPr="004B3485" w:rsidRDefault="00E02BF1" w:rsidP="003B4473">
            <w:pPr>
              <w:pStyle w:val="a3"/>
              <w:numPr>
                <w:ilvl w:val="0"/>
                <w:numId w:val="30"/>
              </w:numPr>
              <w:pBdr>
                <w:bar w:val="single" w:sz="2" w:color="auto"/>
              </w:pBd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gramStart"/>
            <w:r w:rsidRP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Рентгенологический</w:t>
            </w:r>
            <w:proofErr w:type="gramEnd"/>
            <w:r w:rsidRP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="003B447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ультразвуковое исследование (</w:t>
            </w:r>
            <w:r w:rsidRP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УЗИ</w:t>
            </w:r>
            <w:r w:rsidR="003B447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)</w:t>
            </w:r>
            <w:r w:rsidRP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, </w:t>
            </w:r>
            <w:r w:rsidR="003B447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компьютерная </w:t>
            </w:r>
            <w:proofErr w:type="spellStart"/>
            <w:r w:rsidR="003B447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томограмма</w:t>
            </w:r>
            <w:proofErr w:type="spellEnd"/>
            <w:r w:rsidR="003B447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(</w:t>
            </w:r>
            <w:r w:rsidRP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КТ</w:t>
            </w:r>
            <w:r w:rsidR="003B447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)</w:t>
            </w:r>
            <w:r w:rsidRP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</w:p>
        </w:tc>
      </w:tr>
      <w:tr w:rsidR="00E02BF1" w:rsidRPr="00C2121F" w:rsidTr="00CE0DFB">
        <w:trPr>
          <w:trHeight w:val="1982"/>
        </w:trPr>
        <w:tc>
          <w:tcPr>
            <w:tcW w:w="2067" w:type="dxa"/>
            <w:shd w:val="clear" w:color="auto" w:fill="FFFFFF"/>
            <w:vAlign w:val="center"/>
          </w:tcPr>
          <w:p w:rsidR="00E02BF1" w:rsidRPr="00014BD8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Основная и контрольная группа </w:t>
            </w:r>
          </w:p>
        </w:tc>
        <w:tc>
          <w:tcPr>
            <w:tcW w:w="7539" w:type="dxa"/>
            <w:vAlign w:val="center"/>
          </w:tcPr>
          <w:p w:rsidR="00E02BF1" w:rsidRPr="00014BD8" w:rsidRDefault="00C22497" w:rsidP="00C0283B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 соответствии с задачей</w:t>
            </w:r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исследования дети будут распределены на группы: группа 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I (1a, 1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)</w:t>
            </w:r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дети</w:t>
            </w:r>
            <w:proofErr w:type="gramEnd"/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лечивши</w:t>
            </w:r>
            <w:r w:rsidR="0048098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ся без эффекта и учета данных микр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обиологических исследований 1а-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КДН, 1б-ГДН. Группа  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II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(2а, 2б) дети различными клиническими формами с начала заболевания будут лечиться нами в соответствии с  выявленной микрофлорой.  Группа 3-</w:t>
            </w:r>
            <w:r w:rsidR="0023752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дети с врожденной обструкци</w:t>
            </w:r>
            <w:r w:rsidR="00C0283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ей </w:t>
            </w:r>
            <w:r w:rsidR="0023752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носослезного протока (</w:t>
            </w:r>
            <w:proofErr w:type="spellStart"/>
            <w:r w:rsidR="0023752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донозологическая</w:t>
            </w:r>
            <w:proofErr w:type="spellEnd"/>
            <w:r w:rsidR="00237523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группа)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. Группа 4-здоровые </w:t>
            </w:r>
            <w:proofErr w:type="gramStart"/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дети</w:t>
            </w:r>
            <w:proofErr w:type="gramEnd"/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обратившиеся на профилактический 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lastRenderedPageBreak/>
              <w:t>осмотр в поликлинику НИИ Педиатрии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им</w:t>
            </w:r>
            <w:r w:rsidR="0023367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ени </w:t>
            </w:r>
            <w:proofErr w:type="spellStart"/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К.Я.Фараджевой</w:t>
            </w:r>
            <w:proofErr w:type="spellEnd"/>
            <w:r w:rsidR="004B3485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 </w:t>
            </w:r>
            <w:r w:rsidR="007F18E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Национальном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Центре</w:t>
            </w:r>
            <w:r w:rsidR="002E42B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Офтальмологии академика З.Алиевой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.  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E02BF1" w:rsidRPr="00C2121F" w:rsidTr="00CE0DFB">
        <w:trPr>
          <w:trHeight w:val="1982"/>
        </w:trPr>
        <w:tc>
          <w:tcPr>
            <w:tcW w:w="2067" w:type="dxa"/>
            <w:shd w:val="clear" w:color="auto" w:fill="FFFFFF"/>
            <w:vAlign w:val="center"/>
          </w:tcPr>
          <w:p w:rsidR="00E02BF1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lastRenderedPageBreak/>
              <w:t xml:space="preserve">Оценивание и критерии сравнения </w:t>
            </w:r>
          </w:p>
        </w:tc>
        <w:tc>
          <w:tcPr>
            <w:tcW w:w="7539" w:type="dxa"/>
            <w:vAlign w:val="center"/>
          </w:tcPr>
          <w:p w:rsidR="00E02BF1" w:rsidRDefault="00E02BF1" w:rsidP="00C0283B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В зависимости от течения болезни будут проводиться сравнительный анализ критериев и оценка </w:t>
            </w:r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состояния детей с </w:t>
            </w:r>
            <w:r w:rsidR="002B5C3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обструкци</w:t>
            </w:r>
            <w:r w:rsidR="00C0283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ей</w:t>
            </w:r>
            <w:r w:rsidR="002B5C3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носослезного протока </w:t>
            </w:r>
            <w:proofErr w:type="spellStart"/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неосложненным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 </w:t>
            </w:r>
            <w:proofErr w:type="gramStart"/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осложненным</w:t>
            </w:r>
            <w:proofErr w:type="gramEnd"/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течениям</w:t>
            </w:r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</w:t>
            </w:r>
            <w:r w:rsidR="002B5C3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ДН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, требующего хирургического вмешательства. </w:t>
            </w:r>
          </w:p>
        </w:tc>
      </w:tr>
      <w:tr w:rsidR="00E02BF1" w:rsidRPr="00C2121F" w:rsidTr="00C22497">
        <w:trPr>
          <w:trHeight w:val="423"/>
        </w:trPr>
        <w:tc>
          <w:tcPr>
            <w:tcW w:w="2067" w:type="dxa"/>
            <w:shd w:val="clear" w:color="auto" w:fill="FFFFFF"/>
            <w:vAlign w:val="center"/>
          </w:tcPr>
          <w:p w:rsidR="00E02BF1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Материалы и технические возможности </w:t>
            </w:r>
          </w:p>
        </w:tc>
        <w:tc>
          <w:tcPr>
            <w:tcW w:w="7539" w:type="dxa"/>
            <w:vAlign w:val="center"/>
          </w:tcPr>
          <w:p w:rsidR="00E02BF1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Научно-исследовательская работа будет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прово</w:t>
            </w:r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дится</w:t>
            </w:r>
            <w:proofErr w:type="gramEnd"/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 Научно Исследовательском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Институт</w:t>
            </w:r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е Педиатрии </w:t>
            </w:r>
            <w:proofErr w:type="spellStart"/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им.К.Я.Фараджевой</w:t>
            </w:r>
            <w:proofErr w:type="spellEnd"/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 консультативно-поликлиническом отделении и отделении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пат</w:t>
            </w:r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ологии доношенных новорожденных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 также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F54AA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в детском отделении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На</w:t>
            </w:r>
            <w:r w:rsidR="007F18E8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ционально</w:t>
            </w:r>
            <w:r w:rsidR="00F54AA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го Центра</w:t>
            </w:r>
            <w:r w:rsidR="002E42B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Офтальмологии им.</w:t>
            </w:r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="002E42BC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акад.</w:t>
            </w:r>
            <w:r w:rsidR="00F54AA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З.Алиевой.</w:t>
            </w:r>
          </w:p>
          <w:p w:rsidR="00E02BF1" w:rsidRDefault="00C22497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Необходимые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техническо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 оснащение имеется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снабжение реактивов будет оплачиваться диссертантом. </w:t>
            </w:r>
          </w:p>
        </w:tc>
      </w:tr>
      <w:tr w:rsidR="00E02BF1" w:rsidRPr="00C2121F" w:rsidTr="00C22497">
        <w:trPr>
          <w:trHeight w:val="1209"/>
        </w:trPr>
        <w:tc>
          <w:tcPr>
            <w:tcW w:w="2067" w:type="dxa"/>
            <w:shd w:val="clear" w:color="auto" w:fill="FFFFFF"/>
            <w:vAlign w:val="center"/>
          </w:tcPr>
          <w:p w:rsidR="00E02BF1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Срок выполнение работы </w:t>
            </w:r>
          </w:p>
        </w:tc>
        <w:tc>
          <w:tcPr>
            <w:tcW w:w="7539" w:type="dxa"/>
            <w:vAlign w:val="center"/>
          </w:tcPr>
          <w:p w:rsidR="00E02BF1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2018-2022 г.</w:t>
            </w:r>
          </w:p>
        </w:tc>
      </w:tr>
      <w:tr w:rsidR="00E02BF1" w:rsidRPr="00C2121F" w:rsidTr="00CE0DFB">
        <w:trPr>
          <w:trHeight w:val="1982"/>
        </w:trPr>
        <w:tc>
          <w:tcPr>
            <w:tcW w:w="2067" w:type="dxa"/>
            <w:shd w:val="clear" w:color="auto" w:fill="FFFFFF"/>
            <w:vAlign w:val="center"/>
          </w:tcPr>
          <w:p w:rsidR="00E02BF1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t xml:space="preserve">Этапы выполнения работы </w:t>
            </w:r>
          </w:p>
        </w:tc>
        <w:tc>
          <w:tcPr>
            <w:tcW w:w="7539" w:type="dxa"/>
            <w:vAlign w:val="center"/>
          </w:tcPr>
          <w:p w:rsidR="00E02BF1" w:rsidRPr="00FB2F17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</w:pPr>
            <w:r w:rsidRPr="00FB2F17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  <w:t xml:space="preserve">2018 г.: </w:t>
            </w:r>
          </w:p>
          <w:p w:rsidR="00E02BF1" w:rsidRDefault="00E02BF1" w:rsidP="00E01372">
            <w:pPr>
              <w:pStyle w:val="a3"/>
              <w:numPr>
                <w:ilvl w:val="0"/>
                <w:numId w:val="23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Изучение литературы по данной проблеме;</w:t>
            </w:r>
          </w:p>
          <w:p w:rsidR="00E02BF1" w:rsidRDefault="00E02BF1" w:rsidP="00E01372">
            <w:pPr>
              <w:pStyle w:val="a3"/>
              <w:numPr>
                <w:ilvl w:val="0"/>
                <w:numId w:val="23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Разработка медицинс</w:t>
            </w:r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ких карт </w:t>
            </w:r>
            <w:r w:rsidR="00F54AA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здоровых и </w:t>
            </w:r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новорожденных</w:t>
            </w:r>
            <w:r w:rsidR="00F54AA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 врожденной обструкцией носослезного протока, а также </w:t>
            </w:r>
            <w:r w:rsidR="00C22497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детей первого года жизни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 ДН.</w:t>
            </w:r>
          </w:p>
          <w:p w:rsidR="00E02BF1" w:rsidRDefault="00E02BF1" w:rsidP="00E01372">
            <w:pPr>
              <w:pStyle w:val="a3"/>
              <w:numPr>
                <w:ilvl w:val="0"/>
                <w:numId w:val="23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Разработка ретроспективного анализа медицинских карт  исследуемого контингента.</w:t>
            </w:r>
          </w:p>
          <w:p w:rsidR="00E02BF1" w:rsidRPr="00FB2F17" w:rsidRDefault="00E02BF1" w:rsidP="00E01372">
            <w:pPr>
              <w:pBdr>
                <w:bar w:val="single" w:sz="2" w:color="auto"/>
              </w:pBdr>
              <w:spacing w:after="0" w:line="360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</w:pPr>
            <w:r w:rsidRPr="00FB2F17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  <w:lastRenderedPageBreak/>
              <w:t>2019 г.:</w:t>
            </w:r>
          </w:p>
          <w:p w:rsidR="00E02BF1" w:rsidRDefault="00C22497" w:rsidP="00E01372">
            <w:pPr>
              <w:pStyle w:val="a3"/>
              <w:numPr>
                <w:ilvl w:val="0"/>
                <w:numId w:val="24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Сбор материалов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для исследований.</w:t>
            </w:r>
          </w:p>
          <w:p w:rsidR="00E02BF1" w:rsidRDefault="00E02BF1" w:rsidP="00E01372">
            <w:pPr>
              <w:pStyle w:val="a3"/>
              <w:numPr>
                <w:ilvl w:val="0"/>
                <w:numId w:val="24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Исследование контрольной группы (доношенных новорожденных с идентичным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преморбидным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фоном без ДН).</w:t>
            </w:r>
          </w:p>
          <w:p w:rsidR="00E02BF1" w:rsidRDefault="00E02BF1" w:rsidP="00E01372">
            <w:pPr>
              <w:pStyle w:val="a3"/>
              <w:numPr>
                <w:ilvl w:val="0"/>
                <w:numId w:val="24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Сбор литературы, исследование и подготовки к печати статей.</w:t>
            </w:r>
          </w:p>
          <w:p w:rsidR="00E02BF1" w:rsidRDefault="00E02BF1" w:rsidP="00E01372">
            <w:pPr>
              <w:pStyle w:val="a3"/>
              <w:numPr>
                <w:ilvl w:val="0"/>
                <w:numId w:val="24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Заказ реактивов для диссертационных исследований.</w:t>
            </w:r>
          </w:p>
          <w:p w:rsidR="00E02BF1" w:rsidRPr="00FB2F17" w:rsidRDefault="00E02BF1" w:rsidP="00E01372">
            <w:pPr>
              <w:pBdr>
                <w:bar w:val="single" w:sz="2" w:color="auto"/>
              </w:pBdr>
              <w:spacing w:after="0" w:line="360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</w:pPr>
            <w:r w:rsidRPr="00FB2F17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  <w:t>2020 г.:</w:t>
            </w:r>
          </w:p>
          <w:p w:rsidR="00E02BF1" w:rsidRDefault="00E02BF1" w:rsidP="00E01372">
            <w:pPr>
              <w:pStyle w:val="a3"/>
              <w:numPr>
                <w:ilvl w:val="0"/>
                <w:numId w:val="25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Анализ литературных источников и подготовка литературного обзора.</w:t>
            </w:r>
          </w:p>
          <w:p w:rsidR="00E02BF1" w:rsidRDefault="00E02BF1" w:rsidP="00E01372">
            <w:pPr>
              <w:pStyle w:val="a3"/>
              <w:numPr>
                <w:ilvl w:val="0"/>
                <w:numId w:val="25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Проведение сравнительной оценки основных клинических, лабораторных показателей собранного материала.</w:t>
            </w:r>
          </w:p>
          <w:p w:rsidR="00E02BF1" w:rsidRDefault="00E02BF1" w:rsidP="00E01372">
            <w:pPr>
              <w:pStyle w:val="a3"/>
              <w:numPr>
                <w:ilvl w:val="0"/>
                <w:numId w:val="25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Разработка и внедрение таблиц, диаграмм и графиков на основании собранного материала.</w:t>
            </w:r>
          </w:p>
          <w:p w:rsidR="00E02BF1" w:rsidRDefault="00E02BF1" w:rsidP="00E01372">
            <w:pPr>
              <w:pStyle w:val="a3"/>
              <w:numPr>
                <w:ilvl w:val="0"/>
                <w:numId w:val="25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Разработка и статистический анализ собранного материала.</w:t>
            </w:r>
          </w:p>
          <w:p w:rsidR="00E02BF1" w:rsidRPr="00FB2F17" w:rsidRDefault="00E02BF1" w:rsidP="00E01372">
            <w:pPr>
              <w:pBdr>
                <w:bar w:val="single" w:sz="2" w:color="auto"/>
              </w:pBdr>
              <w:spacing w:after="0" w:line="360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</w:pPr>
            <w:r w:rsidRPr="00FB2F17">
              <w:rPr>
                <w:rFonts w:ascii="Times New Roman" w:eastAsia="Calibri" w:hAnsi="Times New Roman" w:cs="Times New Roman"/>
                <w:b/>
                <w:i/>
                <w:noProof w:val="0"/>
                <w:sz w:val="28"/>
                <w:szCs w:val="28"/>
                <w:lang w:val="ru-RU"/>
              </w:rPr>
              <w:t xml:space="preserve">2021 г.: </w:t>
            </w:r>
          </w:p>
          <w:p w:rsidR="00E02BF1" w:rsidRDefault="00E02BF1" w:rsidP="00E01372">
            <w:pPr>
              <w:pStyle w:val="a3"/>
              <w:numPr>
                <w:ilvl w:val="0"/>
                <w:numId w:val="26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Подготовка результатов и практических </w:t>
            </w:r>
            <w:r w:rsidR="00294CF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рекомендаций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</w:t>
            </w:r>
          </w:p>
          <w:p w:rsidR="00E02BF1" w:rsidRDefault="00294CF4" w:rsidP="00E01372">
            <w:pPr>
              <w:pStyle w:val="a3"/>
              <w:numPr>
                <w:ilvl w:val="0"/>
                <w:numId w:val="26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Разделение диссертации</w:t>
            </w:r>
            <w:r w:rsidR="00E02BF1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по главам.</w:t>
            </w:r>
          </w:p>
          <w:p w:rsidR="00E02BF1" w:rsidRPr="00AD491B" w:rsidRDefault="00E02BF1" w:rsidP="00E01372">
            <w:pPr>
              <w:pStyle w:val="a3"/>
              <w:numPr>
                <w:ilvl w:val="0"/>
                <w:numId w:val="26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Подготовка диссертационной работы и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докуменов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к первичной апробации. </w:t>
            </w:r>
          </w:p>
        </w:tc>
      </w:tr>
      <w:tr w:rsidR="00E02BF1" w:rsidRPr="00C2121F" w:rsidTr="00280261">
        <w:trPr>
          <w:trHeight w:val="1691"/>
        </w:trPr>
        <w:tc>
          <w:tcPr>
            <w:tcW w:w="2067" w:type="dxa"/>
            <w:shd w:val="clear" w:color="auto" w:fill="FFFFFF"/>
            <w:vAlign w:val="center"/>
          </w:tcPr>
          <w:p w:rsidR="00E02BF1" w:rsidRPr="00C2121F" w:rsidRDefault="00E02BF1" w:rsidP="00E01372">
            <w:pPr>
              <w:pBdr>
                <w:bar w:val="single" w:sz="2" w:color="auto"/>
              </w:pBd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</w:pPr>
            <w:r w:rsidRPr="00C2121F">
              <w:rPr>
                <w:rFonts w:ascii="Times New Roman" w:eastAsia="Calibri" w:hAnsi="Times New Roman" w:cs="Times New Roman"/>
                <w:i/>
                <w:noProof w:val="0"/>
                <w:sz w:val="28"/>
                <w:szCs w:val="28"/>
                <w:lang w:val="ru-RU"/>
              </w:rPr>
              <w:lastRenderedPageBreak/>
              <w:t xml:space="preserve">Литература </w:t>
            </w:r>
          </w:p>
        </w:tc>
        <w:tc>
          <w:tcPr>
            <w:tcW w:w="7539" w:type="dxa"/>
            <w:vAlign w:val="center"/>
          </w:tcPr>
          <w:p w:rsidR="00280261" w:rsidRPr="00280261" w:rsidRDefault="0028026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Арестова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Н.Н.,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Катаргина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Л.А.,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Яни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Е.В. Конъюнктивиты и дакриоциститы у детей. Клиническая характеристика современные возможности лечения// Росс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едиатр.офтапльмология.-2016.-11(4).-с.200-206.</w:t>
            </w:r>
          </w:p>
          <w:p w:rsidR="00294CF4" w:rsidRDefault="00294CF4" w:rsidP="00294CF4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lastRenderedPageBreak/>
              <w:t>Байменов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А.Ж. Проблемы диагностики и лечения дакриоцистита новорожденных  и у лиц, перенесших его в раннем детском возрасте// Детская оториоларингология.-2011.-С.73-76.</w:t>
            </w:r>
          </w:p>
          <w:p w:rsidR="00E02BF1" w:rsidRPr="00C2121F" w:rsidRDefault="00E02BF1" w:rsidP="00BE35C6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Бржеский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В.В. Особенности антибактериальной терапии в комплексном лечении детей с дакриоциститом /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В.В.Бржеский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 Т.Н.Воронцова, М.В.Михайлова // Клин</w:t>
            </w:r>
            <w:proofErr w:type="gram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.о</w:t>
            </w:r>
            <w:proofErr w:type="gram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фтальмология.-2012.-№1.-С.39-40.</w:t>
            </w:r>
          </w:p>
          <w:p w:rsidR="00E02BF1" w:rsidRPr="00C2121F" w:rsidRDefault="00E02BF1" w:rsidP="00BE35C6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Галеева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Г.З. Оптимизация лечения клинических форм дакриоцистита новорожденных в зависимости от инфекционной этиологии: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автореф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…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дис</w:t>
            </w:r>
            <w:proofErr w:type="gram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.к</w:t>
            </w:r>
            <w:proofErr w:type="gram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анд.мед.наук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/ Г.З.Галеева-М.,-2013.-32с.</w:t>
            </w:r>
          </w:p>
          <w:p w:rsidR="00E02BF1" w:rsidRPr="00C2121F" w:rsidRDefault="00E02BF1" w:rsidP="00BE35C6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Галеева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Г.З., Самойлов А.Н., Мусина Л.Т.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Лизоцимная</w:t>
            </w:r>
            <w:proofErr w:type="spellEnd"/>
            <w:r w:rsidR="00294CF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активность слезы как показатель местного иммунитета у детей с дакриоциститом новорожденных// Современные технологии в офтальмологии.-2012.-№1.-С.137-140.</w:t>
            </w:r>
          </w:p>
          <w:p w:rsidR="00280261" w:rsidRPr="00280261" w:rsidRDefault="00E02BF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Галеева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Г.З., Мусина Л.Т., Самойлов А.Н. Способ  определения активности лизоцима в слезной жидкости у детей раннего возраста. Патент РФ на изобретение №2469095 от 10.12.2012.</w:t>
            </w:r>
          </w:p>
          <w:p w:rsidR="00280261" w:rsidRDefault="0028026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Кански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Джек Д. Клиническая  офтальмология /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пер.с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нг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, 2-е изд.-2009.-с.158-162.</w:t>
            </w:r>
          </w:p>
          <w:p w:rsidR="00280261" w:rsidRPr="00280261" w:rsidRDefault="0028026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Карпищенко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С.А.,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Белдовская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Н.Ю.,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Баранская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С.В., Карпова А.А. Офтальмологические осложнения функциональной эндоскопической хирургии околоносовых пазух //Офтальмологические ведомости.-2017.Т.10, №1.-с.87-92.</w:t>
            </w:r>
          </w:p>
          <w:p w:rsidR="00280261" w:rsidRPr="006F34A0" w:rsidRDefault="0028026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Ободов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В.А.,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Борзенкова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Е.С.,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Усоскин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М.С.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lastRenderedPageBreak/>
              <w:t xml:space="preserve">Трудные случаи зондирования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слезоотводящих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путей при рецидивирующих дакриоциститах новорожденных // Отражение: журнал для офтальмологов.-2015.-№1.-с.75-56.</w:t>
            </w:r>
          </w:p>
          <w:p w:rsidR="00280261" w:rsidRDefault="0028026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Ободов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В.А., Агеев А.Н. Особенности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дакроцистириностомии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 детском возрасте / Практическая медицина 3 (114), 2018, стр.141-145.</w:t>
            </w:r>
          </w:p>
          <w:p w:rsidR="00280261" w:rsidRDefault="0028026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Райкова А.С.,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Бржевский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В.В., Чистякова М.Н.,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Ходигева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Т.В. Возможности лучевых методов в диагностике патологии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слезоотводящих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путей у детей // РООФ-2015.-с.153-156.</w:t>
            </w:r>
          </w:p>
          <w:p w:rsidR="00280261" w:rsidRDefault="0028026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Тулебаев Р.К., 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Байменов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А.Ж., С.И.Пшеничный,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Аженов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Т.М. Реабилитация больных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риносинуситом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в условиях санаторно-курортного лечения// Медицина и образование в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Сибире-сетевое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научное издание НГМУ.-2015.№3.</w:t>
            </w:r>
          </w:p>
          <w:p w:rsidR="00280261" w:rsidRDefault="0028026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Тулебаев Р.К.,  Курмангалиева М.М.,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Байменов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А.Ж.,Сатыбалдина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Г.К.,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Жусупов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Б.З.,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Папулова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Н.М.,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Ерсаханова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Б.К. Анализ ведения больных хроническим дакриоциститом// Астана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Медициналык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журналы.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-А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стана, спец выпуск, 2016.-№, С.22-24.</w:t>
            </w:r>
          </w:p>
          <w:p w:rsidR="00280261" w:rsidRPr="00280261" w:rsidRDefault="0028026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Тулебаев Р.К., 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Байменов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А.Ж. Повышение эффективности хирургического лечения дакриоцистита с применением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эндоназальной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дакроцисториностимии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  // Конгресс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>ринологов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ru-RU"/>
              </w:rPr>
              <w:t xml:space="preserve"> 23-24 июня 2016 г. Суздаль.</w:t>
            </w:r>
          </w:p>
          <w:p w:rsidR="006F34A0" w:rsidRPr="006F34A0" w:rsidRDefault="006F34A0" w:rsidP="00294CF4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Ali M.,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Psaltis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.,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Brun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worth et al. con</w:t>
            </w:r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genital </w:t>
            </w:r>
            <w:proofErr w:type="spellStart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dacriocele</w:t>
            </w:r>
            <w:proofErr w:type="spellEnd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with intranasal </w:t>
            </w:r>
            <w:proofErr w:type="spellStart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cysti</w:t>
            </w:r>
            <w:proofErr w:type="spellEnd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marsupialization</w:t>
            </w:r>
            <w:proofErr w:type="spellEnd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adyunctive</w:t>
            </w:r>
            <w:proofErr w:type="spellEnd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procedures and outcomes// </w:t>
            </w:r>
            <w:proofErr w:type="spellStart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Ophthal</w:t>
            </w:r>
            <w:proofErr w:type="spellEnd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. </w:t>
            </w:r>
            <w:proofErr w:type="spellStart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Plast</w:t>
            </w:r>
            <w:proofErr w:type="spellEnd"/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 Recon str.Surg.-2014.-vol.30.</w:t>
            </w:r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№4</w:t>
            </w:r>
            <w:r w:rsidR="006E2726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.-p.346-351.</w:t>
            </w:r>
          </w:p>
          <w:p w:rsidR="00400EEB" w:rsidRPr="00280261" w:rsidRDefault="00400EEB" w:rsidP="003940CE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lastRenderedPageBreak/>
              <w:t>Perven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S., Sufi A., Rashid S., </w:t>
            </w:r>
            <w:proofErr w:type="spell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Rhan</w:t>
            </w:r>
            <w:proofErr w:type="spell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A. Success Rate of probing for congenital </w:t>
            </w:r>
            <w:r>
              <w:t xml:space="preserve"> </w:t>
            </w:r>
            <w:proofErr w:type="spellStart"/>
            <w:r w:rsidRPr="00400EE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nasolacrimal</w:t>
            </w:r>
            <w:proofErr w:type="spellEnd"/>
            <w:r w:rsidRPr="00400EE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duct obstruction at various ages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// J.Ophtal.Vis.Res-2014.-Vol.9, 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№</w:t>
            </w:r>
            <w:r w:rsidRPr="00400EEB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.-p.60-64.</w:t>
            </w:r>
          </w:p>
          <w:p w:rsidR="00280261" w:rsidRPr="00280261" w:rsidRDefault="0028026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Samoylov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A.,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Musina</w:t>
            </w:r>
            <w:proofErr w:type="spellEnd"/>
            <w:r w:rsidRPr="00294CF4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L..</w:t>
            </w:r>
            <w:proofErr w:type="spellStart"/>
            <w:proofErr w:type="gram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Galeeva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G., Tear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Lysozyme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Activity of infants with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Dacryocystitis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of Newborns//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Abs.Book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of World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optthalmology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congress.-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Abu </w:t>
            </w:r>
            <w:proofErr w:type="gramStart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Dhabi.,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 2012.-P.238.</w:t>
            </w:r>
          </w:p>
          <w:p w:rsidR="00280261" w:rsidRPr="00280261" w:rsidRDefault="00280261" w:rsidP="00280261">
            <w:pPr>
              <w:pStyle w:val="a3"/>
              <w:numPr>
                <w:ilvl w:val="0"/>
                <w:numId w:val="18"/>
              </w:numPr>
              <w:pBdr>
                <w:bar w:val="single" w:sz="2" w:color="auto"/>
              </w:pBdr>
              <w:spacing w:after="0" w:line="360" w:lineRule="auto"/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</w:pPr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Wong V.W., Pediatric ocular surface infections: a 5 year review of demographics, </w:t>
            </w:r>
            <w:proofErr w:type="gram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clinical  features</w:t>
            </w:r>
            <w:proofErr w:type="gram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risk factors, microbiological results and treatment/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V.W.Wong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T.Y.Lai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S.C.Chi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D.S.Lam</w:t>
            </w:r>
            <w:proofErr w:type="spellEnd"/>
            <w:r w:rsidRPr="00C2121F">
              <w:rPr>
                <w:rFonts w:ascii="Times New Roman" w:eastAsia="Calibri" w:hAnsi="Times New Roman" w:cs="Times New Roman"/>
                <w:noProof w:val="0"/>
                <w:sz w:val="28"/>
                <w:szCs w:val="28"/>
                <w:lang w:val="en-US"/>
              </w:rPr>
              <w:t>//Cornea.-2011.-Vol.30.-p.995.</w:t>
            </w:r>
          </w:p>
        </w:tc>
      </w:tr>
    </w:tbl>
    <w:p w:rsidR="00E02BF1" w:rsidRPr="00400EEB" w:rsidRDefault="00E02BF1" w:rsidP="00E01372">
      <w:pPr>
        <w:spacing w:after="0" w:line="360" w:lineRule="auto"/>
        <w:contextualSpacing/>
        <w:jc w:val="both"/>
        <w:rPr>
          <w:sz w:val="28"/>
          <w:szCs w:val="28"/>
          <w:lang w:val="en-US"/>
        </w:rPr>
      </w:pPr>
    </w:p>
    <w:p w:rsidR="00E02BF1" w:rsidRPr="00400EEB" w:rsidRDefault="00E02BF1" w:rsidP="00E01372">
      <w:pPr>
        <w:spacing w:after="0" w:line="360" w:lineRule="auto"/>
        <w:contextualSpacing/>
        <w:jc w:val="both"/>
        <w:rPr>
          <w:sz w:val="28"/>
          <w:szCs w:val="28"/>
          <w:lang w:val="en-US"/>
        </w:rPr>
      </w:pPr>
    </w:p>
    <w:p w:rsidR="00E02BF1" w:rsidRPr="00400EEB" w:rsidRDefault="00E02BF1" w:rsidP="00E01372">
      <w:pPr>
        <w:spacing w:after="0" w:line="360" w:lineRule="auto"/>
        <w:contextualSpacing/>
        <w:jc w:val="both"/>
        <w:rPr>
          <w:sz w:val="28"/>
          <w:szCs w:val="28"/>
          <w:lang w:val="en-US"/>
        </w:rPr>
      </w:pPr>
    </w:p>
    <w:p w:rsidR="00E02BF1" w:rsidRPr="00400EEB" w:rsidRDefault="00E02BF1" w:rsidP="00E01372">
      <w:pPr>
        <w:spacing w:after="0" w:line="360" w:lineRule="auto"/>
        <w:contextualSpacing/>
        <w:jc w:val="both"/>
        <w:rPr>
          <w:sz w:val="28"/>
          <w:szCs w:val="28"/>
          <w:lang w:val="en-US"/>
        </w:rPr>
      </w:pPr>
    </w:p>
    <w:p w:rsidR="00E02BF1" w:rsidRPr="00400EEB" w:rsidRDefault="00E02BF1" w:rsidP="00E01372">
      <w:pPr>
        <w:spacing w:after="0" w:line="360" w:lineRule="auto"/>
        <w:contextualSpacing/>
        <w:jc w:val="both"/>
        <w:rPr>
          <w:sz w:val="28"/>
          <w:szCs w:val="28"/>
          <w:lang w:val="en-US"/>
        </w:rPr>
      </w:pPr>
    </w:p>
    <w:p w:rsidR="00E02BF1" w:rsidRPr="00400EEB" w:rsidRDefault="00E02BF1" w:rsidP="00E01372">
      <w:pPr>
        <w:spacing w:after="0" w:line="360" w:lineRule="auto"/>
        <w:contextualSpacing/>
        <w:jc w:val="both"/>
        <w:rPr>
          <w:sz w:val="28"/>
          <w:szCs w:val="28"/>
          <w:lang w:val="en-US"/>
        </w:rPr>
      </w:pPr>
    </w:p>
    <w:p w:rsidR="00E02BF1" w:rsidRPr="00400EEB" w:rsidRDefault="00E02BF1" w:rsidP="00E01372">
      <w:pPr>
        <w:spacing w:after="0" w:line="360" w:lineRule="auto"/>
        <w:contextualSpacing/>
        <w:jc w:val="both"/>
        <w:rPr>
          <w:sz w:val="28"/>
          <w:szCs w:val="28"/>
          <w:lang w:val="en-US"/>
        </w:rPr>
      </w:pPr>
    </w:p>
    <w:p w:rsidR="00E02BF1" w:rsidRPr="00400EEB" w:rsidRDefault="00E02BF1" w:rsidP="00E01372">
      <w:pPr>
        <w:spacing w:after="0" w:line="360" w:lineRule="auto"/>
        <w:contextualSpacing/>
        <w:jc w:val="both"/>
        <w:rPr>
          <w:sz w:val="28"/>
          <w:szCs w:val="28"/>
          <w:lang w:val="en-US"/>
        </w:rPr>
      </w:pPr>
    </w:p>
    <w:p w:rsidR="00E02BF1" w:rsidRPr="00400EEB" w:rsidRDefault="00E02BF1" w:rsidP="00E01372">
      <w:pPr>
        <w:spacing w:after="0" w:line="360" w:lineRule="auto"/>
        <w:contextualSpacing/>
        <w:jc w:val="both"/>
        <w:rPr>
          <w:sz w:val="28"/>
          <w:szCs w:val="28"/>
          <w:lang w:val="en-US"/>
        </w:rPr>
      </w:pPr>
    </w:p>
    <w:p w:rsidR="00E02BF1" w:rsidRPr="00400EEB" w:rsidRDefault="00E02BF1" w:rsidP="00E01372">
      <w:pPr>
        <w:spacing w:after="0" w:line="360" w:lineRule="auto"/>
        <w:contextualSpacing/>
        <w:jc w:val="both"/>
        <w:rPr>
          <w:sz w:val="28"/>
          <w:szCs w:val="28"/>
          <w:lang w:val="en-US"/>
        </w:rPr>
      </w:pPr>
    </w:p>
    <w:p w:rsidR="00AB5D41" w:rsidRPr="00C2121F" w:rsidRDefault="00AB5D41" w:rsidP="00E013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21F" w:rsidRPr="00C2121F" w:rsidRDefault="00C2121F" w:rsidP="00E013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121F" w:rsidRPr="00C2121F" w:rsidSect="0041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209"/>
    <w:multiLevelType w:val="hybridMultilevel"/>
    <w:tmpl w:val="6632185A"/>
    <w:lvl w:ilvl="0" w:tplc="73502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6029"/>
    <w:multiLevelType w:val="hybridMultilevel"/>
    <w:tmpl w:val="9AAC4DAC"/>
    <w:lvl w:ilvl="0" w:tplc="45D0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7E43"/>
    <w:multiLevelType w:val="hybridMultilevel"/>
    <w:tmpl w:val="296A25AA"/>
    <w:lvl w:ilvl="0" w:tplc="7F34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71FF4"/>
    <w:multiLevelType w:val="hybridMultilevel"/>
    <w:tmpl w:val="1D3279F6"/>
    <w:lvl w:ilvl="0" w:tplc="7F3466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55F65"/>
    <w:multiLevelType w:val="hybridMultilevel"/>
    <w:tmpl w:val="97CC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7407D"/>
    <w:multiLevelType w:val="hybridMultilevel"/>
    <w:tmpl w:val="23A26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F6C62"/>
    <w:multiLevelType w:val="hybridMultilevel"/>
    <w:tmpl w:val="30FEE29E"/>
    <w:lvl w:ilvl="0" w:tplc="CF627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13AC0"/>
    <w:multiLevelType w:val="hybridMultilevel"/>
    <w:tmpl w:val="290AB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367F9"/>
    <w:multiLevelType w:val="hybridMultilevel"/>
    <w:tmpl w:val="B0C2A1C0"/>
    <w:lvl w:ilvl="0" w:tplc="E8E06EE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F402B"/>
    <w:multiLevelType w:val="hybridMultilevel"/>
    <w:tmpl w:val="5B1CBE70"/>
    <w:lvl w:ilvl="0" w:tplc="7F34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5032E"/>
    <w:multiLevelType w:val="hybridMultilevel"/>
    <w:tmpl w:val="4E244B8E"/>
    <w:lvl w:ilvl="0" w:tplc="9CC6EB2A">
      <w:start w:val="1"/>
      <w:numFmt w:val="decimal"/>
      <w:lvlText w:val="%1)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88F0C23"/>
    <w:multiLevelType w:val="hybridMultilevel"/>
    <w:tmpl w:val="8918DF7A"/>
    <w:lvl w:ilvl="0" w:tplc="ECA4F204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E6C22"/>
    <w:multiLevelType w:val="hybridMultilevel"/>
    <w:tmpl w:val="AE14B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761EA"/>
    <w:multiLevelType w:val="hybridMultilevel"/>
    <w:tmpl w:val="4E244B8E"/>
    <w:lvl w:ilvl="0" w:tplc="9CC6EB2A">
      <w:start w:val="1"/>
      <w:numFmt w:val="decimal"/>
      <w:lvlText w:val="%1)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4A572164"/>
    <w:multiLevelType w:val="hybridMultilevel"/>
    <w:tmpl w:val="75A6DA82"/>
    <w:lvl w:ilvl="0" w:tplc="5DA05C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31BB8"/>
    <w:multiLevelType w:val="hybridMultilevel"/>
    <w:tmpl w:val="9E3E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634D4"/>
    <w:multiLevelType w:val="hybridMultilevel"/>
    <w:tmpl w:val="B470BB8E"/>
    <w:lvl w:ilvl="0" w:tplc="7F3466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07883"/>
    <w:multiLevelType w:val="hybridMultilevel"/>
    <w:tmpl w:val="05F8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35323"/>
    <w:multiLevelType w:val="multilevel"/>
    <w:tmpl w:val="5D22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56FD9"/>
    <w:multiLevelType w:val="hybridMultilevel"/>
    <w:tmpl w:val="D95C532C"/>
    <w:lvl w:ilvl="0" w:tplc="2E280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04899"/>
    <w:multiLevelType w:val="hybridMultilevel"/>
    <w:tmpl w:val="D30E566C"/>
    <w:lvl w:ilvl="0" w:tplc="EC4CE8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218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EEB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C81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6E5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85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09D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76E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E9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3F2350"/>
    <w:multiLevelType w:val="hybridMultilevel"/>
    <w:tmpl w:val="77F0AC50"/>
    <w:lvl w:ilvl="0" w:tplc="09DA4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E140B"/>
    <w:multiLevelType w:val="hybridMultilevel"/>
    <w:tmpl w:val="39E2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D151C"/>
    <w:multiLevelType w:val="hybridMultilevel"/>
    <w:tmpl w:val="AD424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75180"/>
    <w:multiLevelType w:val="hybridMultilevel"/>
    <w:tmpl w:val="AE7A2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E425C"/>
    <w:multiLevelType w:val="hybridMultilevel"/>
    <w:tmpl w:val="E0F230A4"/>
    <w:lvl w:ilvl="0" w:tplc="530C8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962CC"/>
    <w:multiLevelType w:val="hybridMultilevel"/>
    <w:tmpl w:val="590474EE"/>
    <w:lvl w:ilvl="0" w:tplc="382C45B2">
      <w:start w:val="1"/>
      <w:numFmt w:val="decimal"/>
      <w:lvlText w:val="%1."/>
      <w:lvlJc w:val="left"/>
      <w:pPr>
        <w:ind w:left="855" w:hanging="495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1538A"/>
    <w:multiLevelType w:val="hybridMultilevel"/>
    <w:tmpl w:val="9CAAB1E4"/>
    <w:lvl w:ilvl="0" w:tplc="05B42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0382C"/>
    <w:multiLevelType w:val="hybridMultilevel"/>
    <w:tmpl w:val="8570975A"/>
    <w:lvl w:ilvl="0" w:tplc="00E0D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531E8"/>
    <w:multiLevelType w:val="hybridMultilevel"/>
    <w:tmpl w:val="5EE84806"/>
    <w:lvl w:ilvl="0" w:tplc="82F6A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31DEE"/>
    <w:multiLevelType w:val="hybridMultilevel"/>
    <w:tmpl w:val="B3403A74"/>
    <w:lvl w:ilvl="0" w:tplc="D41CC3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24"/>
  </w:num>
  <w:num w:numId="5">
    <w:abstractNumId w:val="8"/>
  </w:num>
  <w:num w:numId="6">
    <w:abstractNumId w:val="13"/>
  </w:num>
  <w:num w:numId="7">
    <w:abstractNumId w:val="10"/>
  </w:num>
  <w:num w:numId="8">
    <w:abstractNumId w:val="18"/>
  </w:num>
  <w:num w:numId="9">
    <w:abstractNumId w:val="12"/>
  </w:num>
  <w:num w:numId="10">
    <w:abstractNumId w:val="6"/>
  </w:num>
  <w:num w:numId="11">
    <w:abstractNumId w:val="19"/>
  </w:num>
  <w:num w:numId="12">
    <w:abstractNumId w:val="5"/>
  </w:num>
  <w:num w:numId="13">
    <w:abstractNumId w:val="27"/>
  </w:num>
  <w:num w:numId="14">
    <w:abstractNumId w:val="29"/>
  </w:num>
  <w:num w:numId="15">
    <w:abstractNumId w:val="1"/>
  </w:num>
  <w:num w:numId="16">
    <w:abstractNumId w:val="4"/>
  </w:num>
  <w:num w:numId="17">
    <w:abstractNumId w:val="17"/>
  </w:num>
  <w:num w:numId="18">
    <w:abstractNumId w:val="25"/>
  </w:num>
  <w:num w:numId="19">
    <w:abstractNumId w:val="21"/>
  </w:num>
  <w:num w:numId="20">
    <w:abstractNumId w:val="22"/>
  </w:num>
  <w:num w:numId="21">
    <w:abstractNumId w:val="2"/>
  </w:num>
  <w:num w:numId="22">
    <w:abstractNumId w:val="9"/>
  </w:num>
  <w:num w:numId="23">
    <w:abstractNumId w:val="0"/>
  </w:num>
  <w:num w:numId="24">
    <w:abstractNumId w:val="14"/>
  </w:num>
  <w:num w:numId="25">
    <w:abstractNumId w:val="28"/>
  </w:num>
  <w:num w:numId="26">
    <w:abstractNumId w:val="30"/>
  </w:num>
  <w:num w:numId="27">
    <w:abstractNumId w:val="26"/>
  </w:num>
  <w:num w:numId="28">
    <w:abstractNumId w:val="11"/>
  </w:num>
  <w:num w:numId="29">
    <w:abstractNumId w:val="3"/>
  </w:num>
  <w:num w:numId="30">
    <w:abstractNumId w:val="16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3729"/>
    <w:rsid w:val="000018A3"/>
    <w:rsid w:val="0000278B"/>
    <w:rsid w:val="00014BD8"/>
    <w:rsid w:val="00015630"/>
    <w:rsid w:val="00016ED2"/>
    <w:rsid w:val="00024C17"/>
    <w:rsid w:val="00054BEC"/>
    <w:rsid w:val="00055C26"/>
    <w:rsid w:val="00060DA4"/>
    <w:rsid w:val="000611BB"/>
    <w:rsid w:val="0006200F"/>
    <w:rsid w:val="00066116"/>
    <w:rsid w:val="00077A40"/>
    <w:rsid w:val="000967EF"/>
    <w:rsid w:val="000B3A16"/>
    <w:rsid w:val="000D0D3E"/>
    <w:rsid w:val="000F11A2"/>
    <w:rsid w:val="000F2B85"/>
    <w:rsid w:val="00115EAB"/>
    <w:rsid w:val="00137D1D"/>
    <w:rsid w:val="001A74A1"/>
    <w:rsid w:val="001C5E98"/>
    <w:rsid w:val="00223205"/>
    <w:rsid w:val="0023250C"/>
    <w:rsid w:val="0023367C"/>
    <w:rsid w:val="00237523"/>
    <w:rsid w:val="002441B6"/>
    <w:rsid w:val="002555AD"/>
    <w:rsid w:val="00280261"/>
    <w:rsid w:val="00284F3D"/>
    <w:rsid w:val="00290129"/>
    <w:rsid w:val="00292630"/>
    <w:rsid w:val="00294CF4"/>
    <w:rsid w:val="0029773C"/>
    <w:rsid w:val="002B5C31"/>
    <w:rsid w:val="002D3019"/>
    <w:rsid w:val="002E42BC"/>
    <w:rsid w:val="002E6BA7"/>
    <w:rsid w:val="002F0F2F"/>
    <w:rsid w:val="00316188"/>
    <w:rsid w:val="00332DA4"/>
    <w:rsid w:val="00336DFB"/>
    <w:rsid w:val="00344FD7"/>
    <w:rsid w:val="00345297"/>
    <w:rsid w:val="003502C4"/>
    <w:rsid w:val="0035756B"/>
    <w:rsid w:val="00357636"/>
    <w:rsid w:val="00372D80"/>
    <w:rsid w:val="00375EA3"/>
    <w:rsid w:val="00376907"/>
    <w:rsid w:val="0038633D"/>
    <w:rsid w:val="003940CE"/>
    <w:rsid w:val="003A141A"/>
    <w:rsid w:val="003A4C59"/>
    <w:rsid w:val="003B4473"/>
    <w:rsid w:val="003C16A9"/>
    <w:rsid w:val="003C4BC4"/>
    <w:rsid w:val="003C6803"/>
    <w:rsid w:val="003F492D"/>
    <w:rsid w:val="00400EEB"/>
    <w:rsid w:val="00413B73"/>
    <w:rsid w:val="00416522"/>
    <w:rsid w:val="004215AF"/>
    <w:rsid w:val="004319A9"/>
    <w:rsid w:val="00443A01"/>
    <w:rsid w:val="00465273"/>
    <w:rsid w:val="00480986"/>
    <w:rsid w:val="00482E47"/>
    <w:rsid w:val="004B182D"/>
    <w:rsid w:val="004B3485"/>
    <w:rsid w:val="004C4E78"/>
    <w:rsid w:val="004C6EAB"/>
    <w:rsid w:val="004E030F"/>
    <w:rsid w:val="004E796B"/>
    <w:rsid w:val="00583113"/>
    <w:rsid w:val="00585094"/>
    <w:rsid w:val="00596256"/>
    <w:rsid w:val="00596EC9"/>
    <w:rsid w:val="005B3DCE"/>
    <w:rsid w:val="005C39CA"/>
    <w:rsid w:val="005C3E17"/>
    <w:rsid w:val="005C5D6E"/>
    <w:rsid w:val="005F0970"/>
    <w:rsid w:val="00605D01"/>
    <w:rsid w:val="00620FC2"/>
    <w:rsid w:val="006367F5"/>
    <w:rsid w:val="00671675"/>
    <w:rsid w:val="00695014"/>
    <w:rsid w:val="006C78AC"/>
    <w:rsid w:val="006E2726"/>
    <w:rsid w:val="006E5A43"/>
    <w:rsid w:val="006F34A0"/>
    <w:rsid w:val="00707260"/>
    <w:rsid w:val="0071071E"/>
    <w:rsid w:val="00713EA6"/>
    <w:rsid w:val="0071418E"/>
    <w:rsid w:val="00721DC5"/>
    <w:rsid w:val="00730C2C"/>
    <w:rsid w:val="0073709D"/>
    <w:rsid w:val="007543C2"/>
    <w:rsid w:val="0075581B"/>
    <w:rsid w:val="007624D7"/>
    <w:rsid w:val="00797044"/>
    <w:rsid w:val="007C24F4"/>
    <w:rsid w:val="007C73AD"/>
    <w:rsid w:val="007D4B13"/>
    <w:rsid w:val="007F18E8"/>
    <w:rsid w:val="0082487C"/>
    <w:rsid w:val="00826D17"/>
    <w:rsid w:val="00830592"/>
    <w:rsid w:val="00831781"/>
    <w:rsid w:val="008335CE"/>
    <w:rsid w:val="00835F72"/>
    <w:rsid w:val="008410B1"/>
    <w:rsid w:val="00846527"/>
    <w:rsid w:val="00861D81"/>
    <w:rsid w:val="008C1643"/>
    <w:rsid w:val="00900980"/>
    <w:rsid w:val="0090594B"/>
    <w:rsid w:val="00920E76"/>
    <w:rsid w:val="0092122C"/>
    <w:rsid w:val="009222CD"/>
    <w:rsid w:val="00957E08"/>
    <w:rsid w:val="00960B8C"/>
    <w:rsid w:val="00967474"/>
    <w:rsid w:val="009B6DC2"/>
    <w:rsid w:val="009D00AD"/>
    <w:rsid w:val="009D193C"/>
    <w:rsid w:val="009D60B5"/>
    <w:rsid w:val="00A00852"/>
    <w:rsid w:val="00A02731"/>
    <w:rsid w:val="00A232D3"/>
    <w:rsid w:val="00A26628"/>
    <w:rsid w:val="00A445D0"/>
    <w:rsid w:val="00A46DC7"/>
    <w:rsid w:val="00A47145"/>
    <w:rsid w:val="00A81045"/>
    <w:rsid w:val="00A86393"/>
    <w:rsid w:val="00AA0309"/>
    <w:rsid w:val="00AA16A6"/>
    <w:rsid w:val="00AB5D41"/>
    <w:rsid w:val="00AC06D5"/>
    <w:rsid w:val="00AD491B"/>
    <w:rsid w:val="00B10217"/>
    <w:rsid w:val="00B1612E"/>
    <w:rsid w:val="00B1687D"/>
    <w:rsid w:val="00B32E14"/>
    <w:rsid w:val="00B45E90"/>
    <w:rsid w:val="00B568A1"/>
    <w:rsid w:val="00B60675"/>
    <w:rsid w:val="00B93729"/>
    <w:rsid w:val="00BB33C1"/>
    <w:rsid w:val="00BD48C3"/>
    <w:rsid w:val="00BE35C6"/>
    <w:rsid w:val="00BE360A"/>
    <w:rsid w:val="00BE6384"/>
    <w:rsid w:val="00C0283B"/>
    <w:rsid w:val="00C2121F"/>
    <w:rsid w:val="00C22497"/>
    <w:rsid w:val="00C22702"/>
    <w:rsid w:val="00C46880"/>
    <w:rsid w:val="00C8341E"/>
    <w:rsid w:val="00C87DCD"/>
    <w:rsid w:val="00C96EE8"/>
    <w:rsid w:val="00CB41C8"/>
    <w:rsid w:val="00CC2D19"/>
    <w:rsid w:val="00CC5CC8"/>
    <w:rsid w:val="00CE3FFD"/>
    <w:rsid w:val="00CE4DAB"/>
    <w:rsid w:val="00CE7A3A"/>
    <w:rsid w:val="00D0669E"/>
    <w:rsid w:val="00D25F01"/>
    <w:rsid w:val="00D646A0"/>
    <w:rsid w:val="00D65BCD"/>
    <w:rsid w:val="00D7429A"/>
    <w:rsid w:val="00D902D4"/>
    <w:rsid w:val="00D907B9"/>
    <w:rsid w:val="00D97EA7"/>
    <w:rsid w:val="00DA054C"/>
    <w:rsid w:val="00DB3E32"/>
    <w:rsid w:val="00DB76A5"/>
    <w:rsid w:val="00DC69A9"/>
    <w:rsid w:val="00DE43C4"/>
    <w:rsid w:val="00DE4A38"/>
    <w:rsid w:val="00E01372"/>
    <w:rsid w:val="00E02BF1"/>
    <w:rsid w:val="00E10C19"/>
    <w:rsid w:val="00E13514"/>
    <w:rsid w:val="00E14A52"/>
    <w:rsid w:val="00E14E5C"/>
    <w:rsid w:val="00E15CE5"/>
    <w:rsid w:val="00E20F60"/>
    <w:rsid w:val="00E235B3"/>
    <w:rsid w:val="00E403BB"/>
    <w:rsid w:val="00E4290C"/>
    <w:rsid w:val="00EC4FAC"/>
    <w:rsid w:val="00EC65C9"/>
    <w:rsid w:val="00F05C47"/>
    <w:rsid w:val="00F24E85"/>
    <w:rsid w:val="00F351D1"/>
    <w:rsid w:val="00F44B3E"/>
    <w:rsid w:val="00F47681"/>
    <w:rsid w:val="00F53DB8"/>
    <w:rsid w:val="00F54302"/>
    <w:rsid w:val="00F54AA1"/>
    <w:rsid w:val="00F77F41"/>
    <w:rsid w:val="00F8167D"/>
    <w:rsid w:val="00F83840"/>
    <w:rsid w:val="00F91D9E"/>
    <w:rsid w:val="00FA41E2"/>
    <w:rsid w:val="00FB2F17"/>
    <w:rsid w:val="00FC21BA"/>
    <w:rsid w:val="00FD1807"/>
    <w:rsid w:val="00FD7ABC"/>
    <w:rsid w:val="00FE116F"/>
    <w:rsid w:val="00FE2215"/>
    <w:rsid w:val="00FF4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22"/>
    <w:rPr>
      <w:noProof/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7681"/>
    <w:rPr>
      <w:b/>
      <w:bCs/>
      <w:strike w:val="0"/>
      <w:dstrike w:val="0"/>
      <w:color w:val="006600"/>
      <w:u w:val="none"/>
      <w:effect w:val="none"/>
    </w:rPr>
  </w:style>
  <w:style w:type="paragraph" w:customStyle="1" w:styleId="m21">
    <w:name w:val="m21"/>
    <w:basedOn w:val="a"/>
    <w:rsid w:val="00F47681"/>
    <w:pPr>
      <w:spacing w:after="30" w:line="210" w:lineRule="atLeast"/>
    </w:pPr>
    <w:rPr>
      <w:rFonts w:ascii="Times New Roman" w:eastAsia="Times New Roman" w:hAnsi="Times New Roman" w:cs="Times New Roman"/>
      <w:noProof w:val="0"/>
      <w:color w:val="000000"/>
      <w:sz w:val="24"/>
      <w:szCs w:val="24"/>
      <w:lang w:val="ru-RU" w:eastAsia="ru-RU"/>
    </w:rPr>
  </w:style>
  <w:style w:type="character" w:styleId="a5">
    <w:name w:val="FollowedHyperlink"/>
    <w:basedOn w:val="a0"/>
    <w:uiPriority w:val="99"/>
    <w:semiHidden/>
    <w:unhideWhenUsed/>
    <w:rsid w:val="00F47681"/>
    <w:rPr>
      <w:color w:val="800080" w:themeColor="followedHyperlink"/>
      <w:u w:val="single"/>
    </w:rPr>
  </w:style>
  <w:style w:type="character" w:customStyle="1" w:styleId="ogd">
    <w:name w:val="_ogd"/>
    <w:basedOn w:val="a0"/>
    <w:rsid w:val="00730C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915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8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9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10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3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70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0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89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28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955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08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932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138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415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136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876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083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783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9365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510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012">
          <w:marLeft w:val="0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B02F-FF14-4033-A0B7-B413FBAC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2698</Words>
  <Characters>15379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rnurahmedov</cp:lastModifiedBy>
  <cp:revision>3</cp:revision>
  <cp:lastPrinted>2018-05-25T06:01:00Z</cp:lastPrinted>
  <dcterms:created xsi:type="dcterms:W3CDTF">2018-06-18T06:03:00Z</dcterms:created>
  <dcterms:modified xsi:type="dcterms:W3CDTF">2018-06-18T06:12:00Z</dcterms:modified>
</cp:coreProperties>
</file>